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169" w:rsidRPr="003A1993" w:rsidRDefault="004439A7" w:rsidP="004439A7">
      <w:pPr>
        <w:ind w:firstLine="708"/>
        <w:jc w:val="center"/>
        <w:rPr>
          <w:b/>
          <w:sz w:val="28"/>
          <w:lang w:val="en-US"/>
        </w:rPr>
      </w:pPr>
      <w:r w:rsidRPr="003A1993">
        <w:rPr>
          <w:b/>
          <w:sz w:val="28"/>
          <w:lang w:val="en-US"/>
        </w:rPr>
        <w:t>Information on the results of the financial and economic acti</w:t>
      </w:r>
      <w:r w:rsidRPr="003A1993">
        <w:rPr>
          <w:b/>
          <w:sz w:val="28"/>
          <w:lang w:val="en-US"/>
        </w:rPr>
        <w:t>vities of the State Enterprise «</w:t>
      </w:r>
      <w:r w:rsidRPr="003A1993">
        <w:rPr>
          <w:b/>
          <w:sz w:val="28"/>
          <w:lang w:val="en-US"/>
        </w:rPr>
        <w:t>Nati</w:t>
      </w:r>
      <w:bookmarkStart w:id="0" w:name="_GoBack"/>
      <w:bookmarkEnd w:id="0"/>
      <w:r w:rsidRPr="003A1993">
        <w:rPr>
          <w:b/>
          <w:sz w:val="28"/>
          <w:lang w:val="en-US"/>
        </w:rPr>
        <w:t>onal Ins</w:t>
      </w:r>
      <w:r w:rsidRPr="003A1993">
        <w:rPr>
          <w:b/>
          <w:sz w:val="28"/>
          <w:lang w:val="en-US"/>
        </w:rPr>
        <w:t>titute of Intellectual Property»</w:t>
      </w:r>
      <w:r w:rsidRPr="003A1993">
        <w:rPr>
          <w:b/>
          <w:sz w:val="28"/>
          <w:lang w:val="en-US"/>
        </w:rPr>
        <w:t xml:space="preserve"> for the year 2023</w:t>
      </w:r>
    </w:p>
    <w:p w:rsidR="004439A7" w:rsidRPr="003A1993" w:rsidRDefault="004439A7" w:rsidP="004439A7">
      <w:pPr>
        <w:ind w:firstLine="708"/>
        <w:jc w:val="center"/>
        <w:rPr>
          <w:b/>
          <w:sz w:val="32"/>
          <w:szCs w:val="28"/>
          <w:lang w:val="en-US"/>
        </w:rPr>
      </w:pPr>
    </w:p>
    <w:p w:rsidR="003A1993" w:rsidRDefault="004439A7" w:rsidP="004439A7">
      <w:pPr>
        <w:pStyle w:val="a7"/>
        <w:ind w:firstLine="360"/>
        <w:jc w:val="both"/>
        <w:rPr>
          <w:sz w:val="28"/>
          <w:szCs w:val="28"/>
          <w:lang w:val="en-US"/>
        </w:rPr>
      </w:pPr>
      <w:r w:rsidRPr="004439A7">
        <w:rPr>
          <w:sz w:val="28"/>
          <w:szCs w:val="28"/>
          <w:lang w:val="en-US"/>
        </w:rPr>
        <w:t>The State Enterprise «</w:t>
      </w:r>
      <w:r w:rsidRPr="004439A7">
        <w:rPr>
          <w:sz w:val="28"/>
          <w:szCs w:val="28"/>
          <w:lang w:val="en-US"/>
        </w:rPr>
        <w:t>National Ins</w:t>
      </w:r>
      <w:r w:rsidRPr="004439A7">
        <w:rPr>
          <w:sz w:val="28"/>
          <w:szCs w:val="28"/>
          <w:lang w:val="en-US"/>
        </w:rPr>
        <w:t>titute of Intellectual Property»</w:t>
      </w:r>
      <w:r w:rsidRPr="004439A7">
        <w:rPr>
          <w:sz w:val="28"/>
          <w:szCs w:val="28"/>
          <w:lang w:val="en-US"/>
        </w:rPr>
        <w:t xml:space="preserve"> (her</w:t>
      </w:r>
      <w:r w:rsidRPr="004439A7">
        <w:rPr>
          <w:sz w:val="28"/>
          <w:szCs w:val="28"/>
          <w:lang w:val="en-US"/>
        </w:rPr>
        <w:t xml:space="preserve">einafter referred to as the </w:t>
      </w:r>
      <w:r w:rsidR="003A1993">
        <w:rPr>
          <w:sz w:val="28"/>
          <w:szCs w:val="28"/>
          <w:lang w:val="en-US"/>
        </w:rPr>
        <w:t>R</w:t>
      </w:r>
      <w:r w:rsidRPr="004439A7">
        <w:rPr>
          <w:sz w:val="28"/>
          <w:szCs w:val="28"/>
          <w:lang w:val="en-US"/>
        </w:rPr>
        <w:t>SE «NIIP»</w:t>
      </w:r>
      <w:r w:rsidRPr="004439A7">
        <w:rPr>
          <w:sz w:val="28"/>
          <w:szCs w:val="28"/>
          <w:lang w:val="en-US"/>
        </w:rPr>
        <w:t xml:space="preserve">) is a subordinate organization of the Ministry of Justice of the Republic of Kazakhstan. </w:t>
      </w:r>
    </w:p>
    <w:p w:rsidR="004439A7" w:rsidRPr="004439A7" w:rsidRDefault="004439A7" w:rsidP="004439A7">
      <w:pPr>
        <w:pStyle w:val="a7"/>
        <w:ind w:firstLine="360"/>
        <w:jc w:val="both"/>
        <w:rPr>
          <w:sz w:val="28"/>
          <w:szCs w:val="28"/>
          <w:lang w:val="en-US"/>
        </w:rPr>
      </w:pPr>
      <w:r w:rsidRPr="004439A7">
        <w:rPr>
          <w:sz w:val="28"/>
          <w:szCs w:val="28"/>
          <w:lang w:val="en-US"/>
        </w:rPr>
        <w:t xml:space="preserve">The activities of the </w:t>
      </w:r>
      <w:r w:rsidR="003A1993">
        <w:rPr>
          <w:sz w:val="28"/>
          <w:szCs w:val="28"/>
          <w:lang w:val="en-US"/>
        </w:rPr>
        <w:t>R</w:t>
      </w:r>
      <w:r w:rsidRPr="004439A7">
        <w:rPr>
          <w:sz w:val="28"/>
          <w:szCs w:val="28"/>
          <w:lang w:val="en-US"/>
        </w:rPr>
        <w:t>SE «NIIP»</w:t>
      </w:r>
      <w:r w:rsidRPr="004439A7">
        <w:rPr>
          <w:sz w:val="28"/>
          <w:szCs w:val="28"/>
          <w:lang w:val="en-US"/>
        </w:rPr>
        <w:t xml:space="preserve"> </w:t>
      </w:r>
      <w:r w:rsidRPr="004439A7">
        <w:rPr>
          <w:sz w:val="28"/>
          <w:szCs w:val="28"/>
          <w:lang w:val="en-US"/>
        </w:rPr>
        <w:t>are funded in accordance with the development plan from its own revenue, without the use of budgetary funds. The Institute's mission is to provide expert services to individuals and legal entities in the field of intellectual property rights protection, including trademarks, geographical indications, inventions, plant varieties, copyrights, agreements on disposal of exclusive rights, maintenance of protective documents validity, and state services in the field of intellectual property, including:</w:t>
      </w:r>
    </w:p>
    <w:p w:rsidR="004439A7" w:rsidRPr="004439A7" w:rsidRDefault="004439A7" w:rsidP="004439A7">
      <w:pPr>
        <w:numPr>
          <w:ilvl w:val="0"/>
          <w:numId w:val="4"/>
        </w:numPr>
        <w:spacing w:before="100" w:beforeAutospacing="1" w:after="100" w:afterAutospacing="1"/>
        <w:jc w:val="both"/>
        <w:rPr>
          <w:sz w:val="28"/>
          <w:szCs w:val="28"/>
          <w:lang w:val="en-US"/>
        </w:rPr>
      </w:pPr>
      <w:r w:rsidRPr="004439A7">
        <w:rPr>
          <w:sz w:val="28"/>
          <w:szCs w:val="28"/>
          <w:lang w:val="en-US"/>
        </w:rPr>
        <w:t>Entering information and its changes into the State Register of rights to</w:t>
      </w:r>
      <w:r w:rsidRPr="004439A7">
        <w:rPr>
          <w:sz w:val="28"/>
          <w:szCs w:val="28"/>
          <w:lang w:val="en-US"/>
        </w:rPr>
        <w:t xml:space="preserve"> objects protected by copyright</w:t>
      </w:r>
    </w:p>
    <w:p w:rsidR="004439A7" w:rsidRPr="004439A7" w:rsidRDefault="004439A7" w:rsidP="004439A7">
      <w:pPr>
        <w:numPr>
          <w:ilvl w:val="0"/>
          <w:numId w:val="4"/>
        </w:numPr>
        <w:spacing w:before="100" w:beforeAutospacing="1" w:after="100" w:afterAutospacing="1"/>
        <w:jc w:val="both"/>
        <w:rPr>
          <w:sz w:val="28"/>
          <w:szCs w:val="28"/>
          <w:lang w:val="en-US"/>
        </w:rPr>
      </w:pPr>
      <w:r w:rsidRPr="004439A7">
        <w:rPr>
          <w:sz w:val="28"/>
          <w:szCs w:val="28"/>
          <w:lang w:val="en-US"/>
        </w:rPr>
        <w:t xml:space="preserve">Registration of granting rights to use a trademark, plant variety, and industrial property object, as well as </w:t>
      </w:r>
      <w:r w:rsidRPr="004439A7">
        <w:rPr>
          <w:sz w:val="28"/>
          <w:szCs w:val="28"/>
          <w:lang w:val="en-US"/>
        </w:rPr>
        <w:t>integrated circuit topographies</w:t>
      </w:r>
    </w:p>
    <w:p w:rsidR="004439A7" w:rsidRPr="004439A7" w:rsidRDefault="004439A7" w:rsidP="004439A7">
      <w:pPr>
        <w:numPr>
          <w:ilvl w:val="0"/>
          <w:numId w:val="4"/>
        </w:numPr>
        <w:spacing w:before="100" w:beforeAutospacing="1" w:after="100" w:afterAutospacing="1"/>
        <w:jc w:val="both"/>
        <w:rPr>
          <w:sz w:val="28"/>
          <w:szCs w:val="28"/>
          <w:lang w:val="en-US"/>
        </w:rPr>
      </w:pPr>
      <w:r w:rsidRPr="004439A7">
        <w:rPr>
          <w:sz w:val="28"/>
          <w:szCs w:val="28"/>
          <w:lang w:val="en-US"/>
        </w:rPr>
        <w:t xml:space="preserve">Registration of transfer of exclusive rights to a trademark, plant variety, and industrial property object, as well as </w:t>
      </w:r>
      <w:r w:rsidRPr="004439A7">
        <w:rPr>
          <w:sz w:val="28"/>
          <w:szCs w:val="28"/>
          <w:lang w:val="en-US"/>
        </w:rPr>
        <w:t>integrated circuit topographies</w:t>
      </w:r>
    </w:p>
    <w:p w:rsidR="004439A7" w:rsidRPr="004439A7" w:rsidRDefault="004439A7" w:rsidP="004439A7">
      <w:pPr>
        <w:numPr>
          <w:ilvl w:val="0"/>
          <w:numId w:val="4"/>
        </w:numPr>
        <w:spacing w:before="100" w:beforeAutospacing="1" w:after="100" w:afterAutospacing="1"/>
        <w:jc w:val="both"/>
        <w:rPr>
          <w:sz w:val="28"/>
          <w:szCs w:val="28"/>
        </w:rPr>
      </w:pPr>
      <w:proofErr w:type="spellStart"/>
      <w:r w:rsidRPr="004439A7">
        <w:rPr>
          <w:sz w:val="28"/>
          <w:szCs w:val="28"/>
        </w:rPr>
        <w:t>Trademark</w:t>
      </w:r>
      <w:proofErr w:type="spellEnd"/>
      <w:r w:rsidRPr="004439A7">
        <w:rPr>
          <w:sz w:val="28"/>
          <w:szCs w:val="28"/>
        </w:rPr>
        <w:t xml:space="preserve"> </w:t>
      </w:r>
      <w:proofErr w:type="spellStart"/>
      <w:r w:rsidRPr="004439A7">
        <w:rPr>
          <w:sz w:val="28"/>
          <w:szCs w:val="28"/>
        </w:rPr>
        <w:t>registration</w:t>
      </w:r>
      <w:proofErr w:type="spellEnd"/>
    </w:p>
    <w:p w:rsidR="004439A7" w:rsidRPr="004439A7" w:rsidRDefault="004439A7" w:rsidP="004439A7">
      <w:pPr>
        <w:numPr>
          <w:ilvl w:val="0"/>
          <w:numId w:val="4"/>
        </w:numPr>
        <w:spacing w:before="100" w:beforeAutospacing="1" w:after="100" w:afterAutospacing="1"/>
        <w:jc w:val="both"/>
        <w:rPr>
          <w:sz w:val="28"/>
          <w:szCs w:val="28"/>
          <w:lang w:val="en-US"/>
        </w:rPr>
      </w:pPr>
      <w:r w:rsidRPr="004439A7">
        <w:rPr>
          <w:sz w:val="28"/>
          <w:szCs w:val="28"/>
          <w:lang w:val="en-US"/>
        </w:rPr>
        <w:t>Regis</w:t>
      </w:r>
      <w:r w:rsidRPr="004439A7">
        <w:rPr>
          <w:sz w:val="28"/>
          <w:szCs w:val="28"/>
          <w:lang w:val="en-US"/>
        </w:rPr>
        <w:t>tration of the right to use the</w:t>
      </w:r>
      <w:r w:rsidRPr="004439A7">
        <w:rPr>
          <w:color w:val="202124"/>
          <w:sz w:val="28"/>
          <w:szCs w:val="28"/>
          <w:shd w:val="clear" w:color="auto" w:fill="FFFFFF"/>
          <w:lang w:val="en-US"/>
        </w:rPr>
        <w:t> </w:t>
      </w:r>
      <w:r w:rsidRPr="004439A7">
        <w:rPr>
          <w:sz w:val="28"/>
          <w:szCs w:val="28"/>
          <w:lang w:val="en-US"/>
        </w:rPr>
        <w:t xml:space="preserve">appellations of origin </w:t>
      </w:r>
      <w:r w:rsidRPr="003A1993">
        <w:rPr>
          <w:sz w:val="28"/>
          <w:szCs w:val="28"/>
          <w:lang w:val="en-US"/>
        </w:rPr>
        <w:t xml:space="preserve">of </w:t>
      </w:r>
      <w:r w:rsidR="003A1993">
        <w:rPr>
          <w:sz w:val="28"/>
          <w:szCs w:val="28"/>
          <w:lang w:val="en-US"/>
        </w:rPr>
        <w:t>goods</w:t>
      </w:r>
    </w:p>
    <w:p w:rsidR="004439A7" w:rsidRPr="004439A7" w:rsidRDefault="004439A7" w:rsidP="004439A7">
      <w:pPr>
        <w:numPr>
          <w:ilvl w:val="0"/>
          <w:numId w:val="4"/>
        </w:numPr>
        <w:spacing w:before="100" w:beforeAutospacing="1" w:after="100" w:afterAutospacing="1"/>
        <w:jc w:val="both"/>
        <w:rPr>
          <w:sz w:val="28"/>
          <w:szCs w:val="28"/>
          <w:lang w:val="en-US"/>
        </w:rPr>
      </w:pPr>
      <w:r w:rsidRPr="004439A7">
        <w:rPr>
          <w:sz w:val="28"/>
          <w:szCs w:val="28"/>
          <w:lang w:val="en-US"/>
        </w:rPr>
        <w:t xml:space="preserve">Registration of the right to use a geographical </w:t>
      </w:r>
      <w:r w:rsidRPr="004439A7">
        <w:rPr>
          <w:sz w:val="28"/>
          <w:szCs w:val="28"/>
          <w:lang w:val="en-US"/>
        </w:rPr>
        <w:t>indication</w:t>
      </w:r>
    </w:p>
    <w:p w:rsidR="004439A7" w:rsidRPr="004439A7" w:rsidRDefault="004439A7" w:rsidP="004439A7">
      <w:pPr>
        <w:numPr>
          <w:ilvl w:val="0"/>
          <w:numId w:val="4"/>
        </w:numPr>
        <w:spacing w:before="100" w:beforeAutospacing="1" w:after="100" w:afterAutospacing="1"/>
        <w:jc w:val="both"/>
        <w:rPr>
          <w:sz w:val="28"/>
          <w:szCs w:val="28"/>
          <w:lang w:val="en-US"/>
        </w:rPr>
      </w:pPr>
      <w:r w:rsidRPr="004439A7">
        <w:rPr>
          <w:sz w:val="28"/>
          <w:szCs w:val="28"/>
          <w:lang w:val="en-US"/>
        </w:rPr>
        <w:t>Issuance of protective documents in t</w:t>
      </w:r>
      <w:r w:rsidRPr="004439A7">
        <w:rPr>
          <w:sz w:val="28"/>
          <w:szCs w:val="28"/>
          <w:lang w:val="en-US"/>
        </w:rPr>
        <w:t>he field of industrial property</w:t>
      </w:r>
    </w:p>
    <w:p w:rsidR="004439A7" w:rsidRPr="004439A7" w:rsidRDefault="004439A7" w:rsidP="004439A7">
      <w:pPr>
        <w:numPr>
          <w:ilvl w:val="0"/>
          <w:numId w:val="4"/>
        </w:numPr>
        <w:spacing w:before="100" w:beforeAutospacing="1" w:after="100" w:afterAutospacing="1"/>
        <w:jc w:val="both"/>
        <w:rPr>
          <w:sz w:val="28"/>
          <w:szCs w:val="28"/>
          <w:lang w:val="en-US"/>
        </w:rPr>
      </w:pPr>
      <w:r w:rsidRPr="004439A7">
        <w:rPr>
          <w:sz w:val="28"/>
          <w:szCs w:val="28"/>
          <w:lang w:val="en-US"/>
        </w:rPr>
        <w:t xml:space="preserve">Registration of </w:t>
      </w:r>
      <w:r w:rsidRPr="004439A7">
        <w:rPr>
          <w:sz w:val="28"/>
          <w:szCs w:val="28"/>
          <w:lang w:val="en-US"/>
        </w:rPr>
        <w:t>integrated circuit topographies</w:t>
      </w:r>
    </w:p>
    <w:p w:rsidR="003A1993" w:rsidRDefault="004439A7" w:rsidP="004439A7">
      <w:pPr>
        <w:numPr>
          <w:ilvl w:val="0"/>
          <w:numId w:val="4"/>
        </w:numPr>
        <w:spacing w:before="100" w:beforeAutospacing="1" w:after="100" w:afterAutospacing="1"/>
        <w:jc w:val="both"/>
        <w:rPr>
          <w:sz w:val="28"/>
          <w:szCs w:val="28"/>
          <w:lang w:val="en-US"/>
        </w:rPr>
      </w:pPr>
      <w:r w:rsidRPr="004439A7">
        <w:rPr>
          <w:sz w:val="28"/>
          <w:szCs w:val="28"/>
          <w:lang w:val="en-US"/>
        </w:rPr>
        <w:t>Issuance of protectio</w:t>
      </w:r>
      <w:r w:rsidR="003A1993">
        <w:rPr>
          <w:sz w:val="28"/>
          <w:szCs w:val="28"/>
          <w:lang w:val="en-US"/>
        </w:rPr>
        <w:t>n documents for plant varieties</w:t>
      </w:r>
    </w:p>
    <w:p w:rsidR="003A1993" w:rsidRDefault="004439A7" w:rsidP="003A1993">
      <w:pPr>
        <w:spacing w:before="100" w:beforeAutospacing="1" w:after="100" w:afterAutospacing="1"/>
        <w:jc w:val="both"/>
        <w:rPr>
          <w:sz w:val="28"/>
          <w:szCs w:val="28"/>
          <w:lang w:val="en-US"/>
        </w:rPr>
      </w:pPr>
      <w:r w:rsidRPr="004439A7">
        <w:rPr>
          <w:sz w:val="28"/>
          <w:szCs w:val="28"/>
          <w:lang w:val="en-US"/>
        </w:rPr>
        <w:t xml:space="preserve"> </w:t>
      </w:r>
      <w:r w:rsidR="003A1993">
        <w:rPr>
          <w:sz w:val="28"/>
          <w:szCs w:val="28"/>
          <w:lang w:val="en-US"/>
        </w:rPr>
        <w:tab/>
      </w:r>
      <w:r w:rsidRPr="004439A7">
        <w:rPr>
          <w:sz w:val="28"/>
          <w:szCs w:val="28"/>
          <w:lang w:val="en-US"/>
        </w:rPr>
        <w:t xml:space="preserve">The </w:t>
      </w:r>
      <w:r w:rsidR="003A1993">
        <w:rPr>
          <w:sz w:val="28"/>
          <w:szCs w:val="28"/>
          <w:lang w:val="en-US"/>
        </w:rPr>
        <w:t>R</w:t>
      </w:r>
      <w:r w:rsidRPr="004439A7">
        <w:rPr>
          <w:sz w:val="28"/>
          <w:szCs w:val="28"/>
          <w:lang w:val="en-US"/>
        </w:rPr>
        <w:t xml:space="preserve">SE </w:t>
      </w:r>
      <w:r w:rsidR="003A1993" w:rsidRPr="004439A7">
        <w:rPr>
          <w:sz w:val="28"/>
          <w:szCs w:val="28"/>
          <w:lang w:val="en-US"/>
        </w:rPr>
        <w:t xml:space="preserve">«NIIP» </w:t>
      </w:r>
      <w:r w:rsidRPr="004439A7">
        <w:rPr>
          <w:sz w:val="28"/>
          <w:szCs w:val="28"/>
          <w:lang w:val="en-US"/>
        </w:rPr>
        <w:t>transfers a portion of its net income to the republican budget in accordance with established legislative norms and deadlines.</w:t>
      </w:r>
    </w:p>
    <w:p w:rsidR="003A1993" w:rsidRDefault="004439A7" w:rsidP="003A1993">
      <w:pPr>
        <w:spacing w:before="100" w:beforeAutospacing="1" w:after="100" w:afterAutospacing="1"/>
        <w:ind w:firstLine="708"/>
        <w:jc w:val="both"/>
        <w:rPr>
          <w:sz w:val="28"/>
          <w:szCs w:val="28"/>
          <w:lang w:val="en-US"/>
        </w:rPr>
      </w:pPr>
      <w:r w:rsidRPr="004439A7">
        <w:rPr>
          <w:sz w:val="28"/>
          <w:szCs w:val="28"/>
          <w:lang w:val="en-US"/>
        </w:rPr>
        <w:t>The accounting and preparation of financial statements of the</w:t>
      </w:r>
      <w:r w:rsidR="003A1993" w:rsidRPr="003A1993">
        <w:rPr>
          <w:sz w:val="28"/>
          <w:szCs w:val="28"/>
          <w:lang w:val="en-US"/>
        </w:rPr>
        <w:t xml:space="preserve"> </w:t>
      </w:r>
      <w:r w:rsidR="003A1993">
        <w:rPr>
          <w:sz w:val="28"/>
          <w:szCs w:val="28"/>
          <w:lang w:val="en-US"/>
        </w:rPr>
        <w:t>R</w:t>
      </w:r>
      <w:r w:rsidR="003A1993" w:rsidRPr="004439A7">
        <w:rPr>
          <w:sz w:val="28"/>
          <w:szCs w:val="28"/>
          <w:lang w:val="en-US"/>
        </w:rPr>
        <w:t>SE «NIIP</w:t>
      </w:r>
      <w:r w:rsidR="003A1993">
        <w:rPr>
          <w:sz w:val="28"/>
          <w:szCs w:val="28"/>
          <w:lang w:val="en-US"/>
        </w:rPr>
        <w:t xml:space="preserve">» </w:t>
      </w:r>
      <w:r w:rsidRPr="004439A7">
        <w:rPr>
          <w:sz w:val="28"/>
          <w:szCs w:val="28"/>
          <w:lang w:val="en-US"/>
        </w:rPr>
        <w:t xml:space="preserve">are carried out in accordance with the legislation on accounting and financial reporting of the Republic of Kazakhstan and the accounting policies approved by the director of </w:t>
      </w:r>
      <w:r w:rsidR="003A1993">
        <w:rPr>
          <w:sz w:val="28"/>
          <w:szCs w:val="28"/>
          <w:lang w:val="en-US"/>
        </w:rPr>
        <w:t>R</w:t>
      </w:r>
      <w:r w:rsidR="003A1993" w:rsidRPr="004439A7">
        <w:rPr>
          <w:sz w:val="28"/>
          <w:szCs w:val="28"/>
          <w:lang w:val="en-US"/>
        </w:rPr>
        <w:t>SE «NIIP</w:t>
      </w:r>
      <w:r w:rsidR="003A1993">
        <w:rPr>
          <w:sz w:val="28"/>
          <w:szCs w:val="28"/>
          <w:lang w:val="en-US"/>
        </w:rPr>
        <w:t xml:space="preserve">» </w:t>
      </w:r>
      <w:r w:rsidRPr="004439A7">
        <w:rPr>
          <w:sz w:val="28"/>
          <w:szCs w:val="28"/>
          <w:lang w:val="en-US"/>
        </w:rPr>
        <w:t>in coordination with the authorized body of the relevant industry, in accordance with international financial reporting standards.</w:t>
      </w:r>
      <w:r w:rsidR="003A1993">
        <w:rPr>
          <w:sz w:val="28"/>
          <w:szCs w:val="28"/>
          <w:lang w:val="en-US"/>
        </w:rPr>
        <w:t xml:space="preserve"> </w:t>
      </w:r>
    </w:p>
    <w:p w:rsidR="004439A7" w:rsidRPr="004439A7" w:rsidRDefault="004439A7" w:rsidP="003A1993">
      <w:pPr>
        <w:spacing w:before="100" w:beforeAutospacing="1" w:after="100" w:afterAutospacing="1"/>
        <w:ind w:firstLine="708"/>
        <w:jc w:val="both"/>
        <w:rPr>
          <w:sz w:val="28"/>
          <w:szCs w:val="28"/>
          <w:lang w:val="en-US"/>
        </w:rPr>
      </w:pPr>
      <w:r w:rsidRPr="004439A7">
        <w:rPr>
          <w:sz w:val="28"/>
          <w:szCs w:val="28"/>
          <w:lang w:val="en-US"/>
        </w:rPr>
        <w:t xml:space="preserve">In 2023, the revenue of </w:t>
      </w:r>
      <w:r w:rsidR="003A1993">
        <w:rPr>
          <w:sz w:val="28"/>
          <w:szCs w:val="28"/>
          <w:lang w:val="en-US"/>
        </w:rPr>
        <w:t>R</w:t>
      </w:r>
      <w:r w:rsidR="003A1993" w:rsidRPr="004439A7">
        <w:rPr>
          <w:sz w:val="28"/>
          <w:szCs w:val="28"/>
          <w:lang w:val="en-US"/>
        </w:rPr>
        <w:t>SE «NIIP</w:t>
      </w:r>
      <w:r w:rsidR="003A1993">
        <w:rPr>
          <w:sz w:val="28"/>
          <w:szCs w:val="28"/>
          <w:lang w:val="en-US"/>
        </w:rPr>
        <w:t xml:space="preserve">» </w:t>
      </w:r>
      <w:r w:rsidRPr="004439A7">
        <w:rPr>
          <w:sz w:val="28"/>
          <w:szCs w:val="28"/>
          <w:lang w:val="en-US"/>
        </w:rPr>
        <w:t xml:space="preserve">amounted to 2,500.78 million </w:t>
      </w:r>
      <w:proofErr w:type="spellStart"/>
      <w:r w:rsidRPr="004439A7">
        <w:rPr>
          <w:sz w:val="28"/>
          <w:szCs w:val="28"/>
          <w:lang w:val="en-US"/>
        </w:rPr>
        <w:t>tenge</w:t>
      </w:r>
      <w:proofErr w:type="spellEnd"/>
      <w:r w:rsidRPr="004439A7">
        <w:rPr>
          <w:sz w:val="28"/>
          <w:szCs w:val="28"/>
          <w:lang w:val="en-US"/>
        </w:rPr>
        <w:t>, derived from the provision of services specified in the enterprise's Charter, including expert services to individuals and legal entities in the field of intellectual property rights protection, such as trademarks, inventions, plant varieties, copyrights, agreements on disposal of exclusive rights, maintenance of validity of protective documents, and the aforementioned governmental and other services.</w:t>
      </w:r>
      <w:r w:rsidR="003A1993">
        <w:rPr>
          <w:sz w:val="28"/>
          <w:szCs w:val="28"/>
          <w:lang w:val="en-US"/>
        </w:rPr>
        <w:t xml:space="preserve"> </w:t>
      </w:r>
    </w:p>
    <w:p w:rsidR="00B06169" w:rsidRPr="004439A7" w:rsidRDefault="00B06169" w:rsidP="004439A7">
      <w:pPr>
        <w:pStyle w:val="z-"/>
        <w:jc w:val="both"/>
        <w:rPr>
          <w:rFonts w:ascii="Times New Roman" w:hAnsi="Times New Roman" w:cs="Times New Roman"/>
          <w:sz w:val="28"/>
          <w:szCs w:val="28"/>
          <w:lang w:val="en-US"/>
        </w:rPr>
      </w:pPr>
      <w:r w:rsidRPr="004439A7">
        <w:rPr>
          <w:rFonts w:ascii="Times New Roman" w:hAnsi="Times New Roman" w:cs="Times New Roman"/>
          <w:sz w:val="28"/>
          <w:szCs w:val="28"/>
        </w:rPr>
        <w:lastRenderedPageBreak/>
        <w:t>Начало</w:t>
      </w:r>
      <w:r w:rsidRPr="004439A7">
        <w:rPr>
          <w:rFonts w:ascii="Times New Roman" w:hAnsi="Times New Roman" w:cs="Times New Roman"/>
          <w:sz w:val="28"/>
          <w:szCs w:val="28"/>
          <w:lang w:val="en-US"/>
        </w:rPr>
        <w:t xml:space="preserve"> </w:t>
      </w:r>
      <w:r w:rsidRPr="004439A7">
        <w:rPr>
          <w:rFonts w:ascii="Times New Roman" w:hAnsi="Times New Roman" w:cs="Times New Roman"/>
          <w:sz w:val="28"/>
          <w:szCs w:val="28"/>
        </w:rPr>
        <w:t>формы</w:t>
      </w:r>
    </w:p>
    <w:p w:rsidR="00B06169" w:rsidRPr="004439A7" w:rsidRDefault="00B06169" w:rsidP="004439A7">
      <w:pPr>
        <w:pStyle w:val="z-1"/>
        <w:jc w:val="both"/>
        <w:rPr>
          <w:rFonts w:ascii="Times New Roman" w:hAnsi="Times New Roman" w:cs="Times New Roman"/>
          <w:sz w:val="28"/>
          <w:szCs w:val="28"/>
          <w:lang w:val="en-US"/>
        </w:rPr>
      </w:pPr>
      <w:r w:rsidRPr="004439A7">
        <w:rPr>
          <w:rFonts w:ascii="Times New Roman" w:hAnsi="Times New Roman" w:cs="Times New Roman"/>
          <w:sz w:val="28"/>
          <w:szCs w:val="28"/>
        </w:rPr>
        <w:t>Конец</w:t>
      </w:r>
      <w:r w:rsidRPr="004439A7">
        <w:rPr>
          <w:rFonts w:ascii="Times New Roman" w:hAnsi="Times New Roman" w:cs="Times New Roman"/>
          <w:sz w:val="28"/>
          <w:szCs w:val="28"/>
          <w:lang w:val="en-US"/>
        </w:rPr>
        <w:t xml:space="preserve"> </w:t>
      </w:r>
      <w:r w:rsidRPr="004439A7">
        <w:rPr>
          <w:rFonts w:ascii="Times New Roman" w:hAnsi="Times New Roman" w:cs="Times New Roman"/>
          <w:sz w:val="28"/>
          <w:szCs w:val="28"/>
        </w:rPr>
        <w:t>формы</w:t>
      </w:r>
    </w:p>
    <w:p w:rsidR="00B82A5D" w:rsidRPr="004439A7" w:rsidRDefault="00B82A5D" w:rsidP="004439A7">
      <w:pPr>
        <w:tabs>
          <w:tab w:val="left" w:pos="4530"/>
        </w:tabs>
        <w:ind w:firstLine="708"/>
        <w:jc w:val="both"/>
        <w:rPr>
          <w:sz w:val="28"/>
          <w:szCs w:val="28"/>
          <w:lang w:val="kk-KZ"/>
        </w:rPr>
      </w:pPr>
    </w:p>
    <w:p w:rsidR="00B82A5D" w:rsidRDefault="00B82A5D" w:rsidP="00A23A84">
      <w:pPr>
        <w:tabs>
          <w:tab w:val="left" w:pos="4530"/>
        </w:tabs>
        <w:jc w:val="both"/>
        <w:rPr>
          <w:sz w:val="28"/>
          <w:szCs w:val="28"/>
          <w:lang w:val="kk-KZ"/>
        </w:rPr>
      </w:pPr>
      <w:r>
        <w:rPr>
          <w:noProof/>
          <w:sz w:val="28"/>
          <w:szCs w:val="28"/>
        </w:rPr>
        <w:drawing>
          <wp:inline distT="0" distB="0" distL="0" distR="0">
            <wp:extent cx="5886450" cy="35052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B82A5D" w:rsidRDefault="00B82A5D" w:rsidP="00FF6910">
      <w:pPr>
        <w:tabs>
          <w:tab w:val="left" w:pos="4530"/>
        </w:tabs>
        <w:ind w:firstLine="708"/>
        <w:jc w:val="both"/>
        <w:rPr>
          <w:sz w:val="28"/>
          <w:szCs w:val="28"/>
          <w:lang w:val="kk-KZ"/>
        </w:rPr>
      </w:pPr>
    </w:p>
    <w:p w:rsidR="00B82A5D" w:rsidRDefault="00B82A5D" w:rsidP="00FF6910">
      <w:pPr>
        <w:tabs>
          <w:tab w:val="left" w:pos="4530"/>
        </w:tabs>
        <w:ind w:firstLine="708"/>
        <w:jc w:val="both"/>
        <w:rPr>
          <w:sz w:val="28"/>
          <w:szCs w:val="28"/>
          <w:lang w:val="kk-KZ"/>
        </w:rPr>
      </w:pPr>
    </w:p>
    <w:p w:rsidR="004439A7" w:rsidRPr="003A1993" w:rsidRDefault="004439A7" w:rsidP="003A1993">
      <w:pPr>
        <w:pStyle w:val="a7"/>
        <w:ind w:firstLine="708"/>
        <w:jc w:val="both"/>
        <w:rPr>
          <w:sz w:val="28"/>
          <w:lang w:val="en-US"/>
        </w:rPr>
      </w:pPr>
      <w:r w:rsidRPr="003A1993">
        <w:rPr>
          <w:sz w:val="28"/>
          <w:lang w:val="en-US"/>
        </w:rPr>
        <w:t xml:space="preserve">In 2023, the expenditure of </w:t>
      </w:r>
      <w:r w:rsidR="003A1993">
        <w:rPr>
          <w:sz w:val="28"/>
          <w:szCs w:val="28"/>
          <w:lang w:val="en-US"/>
        </w:rPr>
        <w:t>R</w:t>
      </w:r>
      <w:r w:rsidR="003A1993" w:rsidRPr="004439A7">
        <w:rPr>
          <w:sz w:val="28"/>
          <w:szCs w:val="28"/>
          <w:lang w:val="en-US"/>
        </w:rPr>
        <w:t>SE «NIIP</w:t>
      </w:r>
      <w:r w:rsidR="003A1993">
        <w:rPr>
          <w:sz w:val="28"/>
          <w:szCs w:val="28"/>
          <w:lang w:val="en-US"/>
        </w:rPr>
        <w:t xml:space="preserve">» </w:t>
      </w:r>
      <w:r w:rsidRPr="003A1993">
        <w:rPr>
          <w:sz w:val="28"/>
          <w:lang w:val="en-US"/>
        </w:rPr>
        <w:t xml:space="preserve">amounted to 2,113.45 million </w:t>
      </w:r>
      <w:proofErr w:type="spellStart"/>
      <w:r w:rsidRPr="003A1993">
        <w:rPr>
          <w:sz w:val="28"/>
          <w:lang w:val="en-US"/>
        </w:rPr>
        <w:t>tenge</w:t>
      </w:r>
      <w:proofErr w:type="spellEnd"/>
      <w:r w:rsidRPr="003A1993">
        <w:rPr>
          <w:sz w:val="28"/>
          <w:lang w:val="en-US"/>
        </w:rPr>
        <w:t xml:space="preserve">, allocated towards conducting the statutory activities of </w:t>
      </w:r>
      <w:r w:rsidR="003A1993">
        <w:rPr>
          <w:sz w:val="28"/>
          <w:szCs w:val="28"/>
          <w:lang w:val="en-US"/>
        </w:rPr>
        <w:t>R</w:t>
      </w:r>
      <w:r w:rsidR="003A1993" w:rsidRPr="004439A7">
        <w:rPr>
          <w:sz w:val="28"/>
          <w:szCs w:val="28"/>
          <w:lang w:val="en-US"/>
        </w:rPr>
        <w:t>SE «NIIP</w:t>
      </w:r>
      <w:r w:rsidR="003A1993">
        <w:rPr>
          <w:sz w:val="28"/>
          <w:szCs w:val="28"/>
          <w:lang w:val="en-US"/>
        </w:rPr>
        <w:t xml:space="preserve">» </w:t>
      </w:r>
      <w:r w:rsidRPr="003A1993">
        <w:rPr>
          <w:sz w:val="28"/>
          <w:lang w:val="en-US"/>
        </w:rPr>
        <w:t>and achieving strategic goals and objectives.</w:t>
      </w:r>
      <w:r w:rsidR="003A1993">
        <w:rPr>
          <w:sz w:val="28"/>
          <w:lang w:val="en-US"/>
        </w:rPr>
        <w:t xml:space="preserve">  </w:t>
      </w:r>
    </w:p>
    <w:p w:rsidR="004439A7" w:rsidRPr="003A1993" w:rsidRDefault="004439A7" w:rsidP="003A1993">
      <w:pPr>
        <w:pStyle w:val="a7"/>
        <w:ind w:firstLine="708"/>
        <w:jc w:val="both"/>
        <w:rPr>
          <w:sz w:val="28"/>
          <w:lang w:val="en-US"/>
        </w:rPr>
      </w:pPr>
      <w:r w:rsidRPr="003A1993">
        <w:rPr>
          <w:sz w:val="28"/>
          <w:lang w:val="en-US"/>
        </w:rPr>
        <w:t xml:space="preserve">At the end of the financial year, a portion of the net profit was transferred to the budget, amounting to 57.76 million </w:t>
      </w:r>
      <w:proofErr w:type="spellStart"/>
      <w:r w:rsidRPr="003A1993">
        <w:rPr>
          <w:sz w:val="28"/>
          <w:lang w:val="en-US"/>
        </w:rPr>
        <w:t>tenge</w:t>
      </w:r>
      <w:proofErr w:type="spellEnd"/>
      <w:r w:rsidRPr="003A1993">
        <w:rPr>
          <w:sz w:val="28"/>
          <w:lang w:val="en-US"/>
        </w:rPr>
        <w:t>.</w:t>
      </w:r>
      <w:r w:rsidR="003A1993">
        <w:rPr>
          <w:sz w:val="28"/>
          <w:lang w:val="en-US"/>
        </w:rPr>
        <w:t xml:space="preserve"> </w:t>
      </w:r>
    </w:p>
    <w:p w:rsidR="00606F06" w:rsidRPr="00F968E9" w:rsidRDefault="00606F06" w:rsidP="004439A7">
      <w:pPr>
        <w:ind w:firstLine="708"/>
        <w:jc w:val="both"/>
        <w:rPr>
          <w:sz w:val="28"/>
          <w:szCs w:val="28"/>
          <w:lang w:val="en-US"/>
        </w:rPr>
      </w:pPr>
    </w:p>
    <w:sectPr w:rsidR="00606F06" w:rsidRPr="00F968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3A77"/>
    <w:multiLevelType w:val="hybridMultilevel"/>
    <w:tmpl w:val="5964A5E2"/>
    <w:lvl w:ilvl="0" w:tplc="962237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8013999"/>
    <w:multiLevelType w:val="multilevel"/>
    <w:tmpl w:val="CF8CB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FE1158"/>
    <w:multiLevelType w:val="multilevel"/>
    <w:tmpl w:val="1278F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3111F6"/>
    <w:multiLevelType w:val="hybridMultilevel"/>
    <w:tmpl w:val="0AAA8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43D"/>
    <w:rsid w:val="000348E5"/>
    <w:rsid w:val="00035161"/>
    <w:rsid w:val="00055F6B"/>
    <w:rsid w:val="000610CF"/>
    <w:rsid w:val="000B55D5"/>
    <w:rsid w:val="000F5EB2"/>
    <w:rsid w:val="00107537"/>
    <w:rsid w:val="001138F0"/>
    <w:rsid w:val="00132792"/>
    <w:rsid w:val="00137B4B"/>
    <w:rsid w:val="00137B8D"/>
    <w:rsid w:val="001476E9"/>
    <w:rsid w:val="00173A9D"/>
    <w:rsid w:val="00182118"/>
    <w:rsid w:val="00196983"/>
    <w:rsid w:val="001A4297"/>
    <w:rsid w:val="001C51AE"/>
    <w:rsid w:val="001C659F"/>
    <w:rsid w:val="001C6981"/>
    <w:rsid w:val="001D169D"/>
    <w:rsid w:val="001D632E"/>
    <w:rsid w:val="0020317E"/>
    <w:rsid w:val="00207A7A"/>
    <w:rsid w:val="002111FE"/>
    <w:rsid w:val="002119DF"/>
    <w:rsid w:val="0024610A"/>
    <w:rsid w:val="00276767"/>
    <w:rsid w:val="00276D8B"/>
    <w:rsid w:val="002A188C"/>
    <w:rsid w:val="002B155A"/>
    <w:rsid w:val="002D3A8B"/>
    <w:rsid w:val="00300300"/>
    <w:rsid w:val="00306080"/>
    <w:rsid w:val="00330ED1"/>
    <w:rsid w:val="00331388"/>
    <w:rsid w:val="00361381"/>
    <w:rsid w:val="003809F1"/>
    <w:rsid w:val="003A1993"/>
    <w:rsid w:val="003B0B23"/>
    <w:rsid w:val="003C230C"/>
    <w:rsid w:val="003D4E6B"/>
    <w:rsid w:val="003E4707"/>
    <w:rsid w:val="003F090F"/>
    <w:rsid w:val="004142C9"/>
    <w:rsid w:val="00416A3C"/>
    <w:rsid w:val="004427EE"/>
    <w:rsid w:val="004439A7"/>
    <w:rsid w:val="00455FE1"/>
    <w:rsid w:val="00477FA4"/>
    <w:rsid w:val="00486390"/>
    <w:rsid w:val="00496906"/>
    <w:rsid w:val="004F241B"/>
    <w:rsid w:val="004F5608"/>
    <w:rsid w:val="0050022D"/>
    <w:rsid w:val="00502E98"/>
    <w:rsid w:val="00503C90"/>
    <w:rsid w:val="00505C77"/>
    <w:rsid w:val="00527110"/>
    <w:rsid w:val="00567EEF"/>
    <w:rsid w:val="005750A6"/>
    <w:rsid w:val="005775B4"/>
    <w:rsid w:val="00583E6A"/>
    <w:rsid w:val="005A137C"/>
    <w:rsid w:val="005C405C"/>
    <w:rsid w:val="005E3A28"/>
    <w:rsid w:val="00606F06"/>
    <w:rsid w:val="00621955"/>
    <w:rsid w:val="00640DF4"/>
    <w:rsid w:val="00652FAD"/>
    <w:rsid w:val="00660C7A"/>
    <w:rsid w:val="00661FCC"/>
    <w:rsid w:val="006840A0"/>
    <w:rsid w:val="00692E23"/>
    <w:rsid w:val="006A1E60"/>
    <w:rsid w:val="006B7716"/>
    <w:rsid w:val="006C09E2"/>
    <w:rsid w:val="006C6608"/>
    <w:rsid w:val="006C7B90"/>
    <w:rsid w:val="006D16A3"/>
    <w:rsid w:val="006E4C30"/>
    <w:rsid w:val="006E7E3D"/>
    <w:rsid w:val="007016E7"/>
    <w:rsid w:val="00711765"/>
    <w:rsid w:val="00752C24"/>
    <w:rsid w:val="00756068"/>
    <w:rsid w:val="00780092"/>
    <w:rsid w:val="007840F7"/>
    <w:rsid w:val="00786600"/>
    <w:rsid w:val="00787D1B"/>
    <w:rsid w:val="007A1FBC"/>
    <w:rsid w:val="007B5D8F"/>
    <w:rsid w:val="007C2C19"/>
    <w:rsid w:val="007F265D"/>
    <w:rsid w:val="007F5349"/>
    <w:rsid w:val="00813EBD"/>
    <w:rsid w:val="0086036E"/>
    <w:rsid w:val="00871972"/>
    <w:rsid w:val="00876A9E"/>
    <w:rsid w:val="00894E12"/>
    <w:rsid w:val="008969ED"/>
    <w:rsid w:val="008C3940"/>
    <w:rsid w:val="008E1BAC"/>
    <w:rsid w:val="008E6626"/>
    <w:rsid w:val="008F26E8"/>
    <w:rsid w:val="008F64C1"/>
    <w:rsid w:val="00910FDE"/>
    <w:rsid w:val="0092353E"/>
    <w:rsid w:val="00933D1B"/>
    <w:rsid w:val="009400BF"/>
    <w:rsid w:val="00963808"/>
    <w:rsid w:val="00967622"/>
    <w:rsid w:val="00971175"/>
    <w:rsid w:val="009D26B8"/>
    <w:rsid w:val="00A23A84"/>
    <w:rsid w:val="00A3623D"/>
    <w:rsid w:val="00A53A1C"/>
    <w:rsid w:val="00A54EA2"/>
    <w:rsid w:val="00A6515F"/>
    <w:rsid w:val="00A66362"/>
    <w:rsid w:val="00A9039C"/>
    <w:rsid w:val="00AA3BA6"/>
    <w:rsid w:val="00AD5D11"/>
    <w:rsid w:val="00AE1490"/>
    <w:rsid w:val="00AE68F8"/>
    <w:rsid w:val="00AF088A"/>
    <w:rsid w:val="00AF1611"/>
    <w:rsid w:val="00B06169"/>
    <w:rsid w:val="00B16362"/>
    <w:rsid w:val="00B342F6"/>
    <w:rsid w:val="00B50306"/>
    <w:rsid w:val="00B82A5D"/>
    <w:rsid w:val="00BB1979"/>
    <w:rsid w:val="00BB279B"/>
    <w:rsid w:val="00BB355B"/>
    <w:rsid w:val="00BB3C71"/>
    <w:rsid w:val="00BE76BF"/>
    <w:rsid w:val="00BE7948"/>
    <w:rsid w:val="00BF1C84"/>
    <w:rsid w:val="00BF4609"/>
    <w:rsid w:val="00BF7A4E"/>
    <w:rsid w:val="00C152DF"/>
    <w:rsid w:val="00C26833"/>
    <w:rsid w:val="00C2774A"/>
    <w:rsid w:val="00C74957"/>
    <w:rsid w:val="00C761DD"/>
    <w:rsid w:val="00CA4372"/>
    <w:rsid w:val="00CA643D"/>
    <w:rsid w:val="00CB266F"/>
    <w:rsid w:val="00CC4C32"/>
    <w:rsid w:val="00CE1E44"/>
    <w:rsid w:val="00CF0841"/>
    <w:rsid w:val="00CF49C9"/>
    <w:rsid w:val="00CF636B"/>
    <w:rsid w:val="00D26E68"/>
    <w:rsid w:val="00D41651"/>
    <w:rsid w:val="00D96904"/>
    <w:rsid w:val="00DB0590"/>
    <w:rsid w:val="00DF091E"/>
    <w:rsid w:val="00E04BDA"/>
    <w:rsid w:val="00E100C1"/>
    <w:rsid w:val="00E23029"/>
    <w:rsid w:val="00E30A92"/>
    <w:rsid w:val="00E7291A"/>
    <w:rsid w:val="00E87186"/>
    <w:rsid w:val="00EB6758"/>
    <w:rsid w:val="00EC1603"/>
    <w:rsid w:val="00EF02FD"/>
    <w:rsid w:val="00EF6ABB"/>
    <w:rsid w:val="00F04D54"/>
    <w:rsid w:val="00F14BF3"/>
    <w:rsid w:val="00F37B56"/>
    <w:rsid w:val="00F826CA"/>
    <w:rsid w:val="00F83F1B"/>
    <w:rsid w:val="00F9157E"/>
    <w:rsid w:val="00F968E9"/>
    <w:rsid w:val="00FC143A"/>
    <w:rsid w:val="00FE4946"/>
    <w:rsid w:val="00FF691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59CFB"/>
  <w15:chartTrackingRefBased/>
  <w15:docId w15:val="{44B7EE88-3767-4A42-816C-D3216E1D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E12"/>
    <w:rPr>
      <w:sz w:val="24"/>
      <w:szCs w:val="24"/>
    </w:rPr>
  </w:style>
  <w:style w:type="paragraph" w:styleId="1">
    <w:name w:val="heading 1"/>
    <w:basedOn w:val="a"/>
    <w:next w:val="a"/>
    <w:link w:val="10"/>
    <w:uiPriority w:val="99"/>
    <w:qFormat/>
    <w:rsid w:val="00894E12"/>
    <w:pPr>
      <w:keepNext/>
      <w:spacing w:before="240" w:after="60"/>
      <w:outlineLvl w:val="0"/>
    </w:pPr>
    <w:rPr>
      <w:rFonts w:ascii="Cambria" w:hAnsi="Cambria" w:cs="Cambria"/>
      <w:b/>
      <w:bCs/>
      <w:kern w:val="32"/>
      <w:sz w:val="32"/>
      <w:szCs w:val="32"/>
    </w:rPr>
  </w:style>
  <w:style w:type="paragraph" w:styleId="2">
    <w:name w:val="heading 2"/>
    <w:basedOn w:val="a"/>
    <w:next w:val="a"/>
    <w:link w:val="20"/>
    <w:semiHidden/>
    <w:unhideWhenUsed/>
    <w:qFormat/>
    <w:rsid w:val="00894E12"/>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894E12"/>
    <w:pPr>
      <w:spacing w:before="100" w:beforeAutospacing="1" w:after="100" w:afterAutospacing="1"/>
      <w:outlineLvl w:val="2"/>
    </w:pPr>
    <w:rPr>
      <w:rFonts w:ascii="Cambria" w:hAnsi="Cambria" w:cs="Cambria"/>
      <w:b/>
      <w:bCs/>
      <w:sz w:val="26"/>
      <w:szCs w:val="26"/>
    </w:rPr>
  </w:style>
  <w:style w:type="paragraph" w:styleId="4">
    <w:name w:val="heading 4"/>
    <w:basedOn w:val="a"/>
    <w:next w:val="a"/>
    <w:link w:val="40"/>
    <w:uiPriority w:val="99"/>
    <w:qFormat/>
    <w:rsid w:val="00894E12"/>
    <w:pPr>
      <w:keepNext/>
      <w:spacing w:before="240" w:after="60"/>
      <w:outlineLvl w:val="3"/>
    </w:pPr>
    <w:rPr>
      <w:rFonts w:ascii="Calibri"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894E12"/>
    <w:rPr>
      <w:rFonts w:ascii="Cambria" w:hAnsi="Cambria" w:cs="Cambria"/>
      <w:b/>
      <w:bCs/>
      <w:kern w:val="32"/>
      <w:sz w:val="32"/>
      <w:szCs w:val="32"/>
    </w:rPr>
  </w:style>
  <w:style w:type="character" w:customStyle="1" w:styleId="20">
    <w:name w:val="Заголовок 2 Знак"/>
    <w:link w:val="2"/>
    <w:semiHidden/>
    <w:rsid w:val="00894E12"/>
    <w:rPr>
      <w:rFonts w:ascii="Cambria" w:hAnsi="Cambria"/>
      <w:b/>
      <w:bCs/>
      <w:i/>
      <w:iCs/>
      <w:sz w:val="28"/>
      <w:szCs w:val="28"/>
    </w:rPr>
  </w:style>
  <w:style w:type="character" w:customStyle="1" w:styleId="30">
    <w:name w:val="Заголовок 3 Знак"/>
    <w:link w:val="3"/>
    <w:uiPriority w:val="9"/>
    <w:rsid w:val="00894E12"/>
    <w:rPr>
      <w:rFonts w:ascii="Cambria" w:hAnsi="Cambria" w:cs="Cambria"/>
      <w:b/>
      <w:bCs/>
      <w:sz w:val="26"/>
      <w:szCs w:val="26"/>
    </w:rPr>
  </w:style>
  <w:style w:type="character" w:customStyle="1" w:styleId="40">
    <w:name w:val="Заголовок 4 Знак"/>
    <w:link w:val="4"/>
    <w:uiPriority w:val="99"/>
    <w:rsid w:val="00894E12"/>
    <w:rPr>
      <w:rFonts w:ascii="Calibri" w:hAnsi="Calibri" w:cs="Calibri"/>
      <w:b/>
      <w:bCs/>
      <w:sz w:val="28"/>
      <w:szCs w:val="28"/>
    </w:rPr>
  </w:style>
  <w:style w:type="character" w:styleId="a3">
    <w:name w:val="Strong"/>
    <w:uiPriority w:val="22"/>
    <w:qFormat/>
    <w:rsid w:val="00894E12"/>
    <w:rPr>
      <w:b/>
      <w:bCs/>
    </w:rPr>
  </w:style>
  <w:style w:type="paragraph" w:styleId="a4">
    <w:name w:val="List Paragraph"/>
    <w:basedOn w:val="a"/>
    <w:uiPriority w:val="34"/>
    <w:qFormat/>
    <w:rsid w:val="00894E12"/>
    <w:pPr>
      <w:spacing w:after="160" w:line="259" w:lineRule="auto"/>
      <w:ind w:left="720"/>
      <w:contextualSpacing/>
    </w:pPr>
    <w:rPr>
      <w:rFonts w:ascii="Calibri" w:eastAsia="Calibri" w:hAnsi="Calibri"/>
      <w:sz w:val="22"/>
      <w:szCs w:val="22"/>
      <w:lang w:eastAsia="en-US"/>
    </w:rPr>
  </w:style>
  <w:style w:type="paragraph" w:styleId="a5">
    <w:name w:val="Balloon Text"/>
    <w:basedOn w:val="a"/>
    <w:link w:val="a6"/>
    <w:uiPriority w:val="99"/>
    <w:semiHidden/>
    <w:unhideWhenUsed/>
    <w:rsid w:val="00A66362"/>
    <w:rPr>
      <w:rFonts w:ascii="Segoe UI" w:hAnsi="Segoe UI" w:cs="Segoe UI"/>
      <w:sz w:val="18"/>
      <w:szCs w:val="18"/>
    </w:rPr>
  </w:style>
  <w:style w:type="character" w:customStyle="1" w:styleId="a6">
    <w:name w:val="Текст выноски Знак"/>
    <w:basedOn w:val="a0"/>
    <w:link w:val="a5"/>
    <w:uiPriority w:val="99"/>
    <w:semiHidden/>
    <w:rsid w:val="00A66362"/>
    <w:rPr>
      <w:rFonts w:ascii="Segoe UI" w:hAnsi="Segoe UI" w:cs="Segoe UI"/>
      <w:sz w:val="18"/>
      <w:szCs w:val="18"/>
    </w:rPr>
  </w:style>
  <w:style w:type="paragraph" w:styleId="a7">
    <w:name w:val="Normal (Web)"/>
    <w:basedOn w:val="a"/>
    <w:uiPriority w:val="99"/>
    <w:semiHidden/>
    <w:unhideWhenUsed/>
    <w:rsid w:val="00B06169"/>
    <w:pPr>
      <w:spacing w:before="100" w:beforeAutospacing="1" w:after="100" w:afterAutospacing="1"/>
    </w:pPr>
  </w:style>
  <w:style w:type="paragraph" w:styleId="z-">
    <w:name w:val="HTML Top of Form"/>
    <w:basedOn w:val="a"/>
    <w:next w:val="a"/>
    <w:link w:val="z-0"/>
    <w:hidden/>
    <w:uiPriority w:val="99"/>
    <w:semiHidden/>
    <w:unhideWhenUsed/>
    <w:rsid w:val="00B06169"/>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B06169"/>
    <w:rPr>
      <w:rFonts w:ascii="Arial" w:hAnsi="Arial" w:cs="Arial"/>
      <w:vanish/>
      <w:sz w:val="16"/>
      <w:szCs w:val="16"/>
    </w:rPr>
  </w:style>
  <w:style w:type="paragraph" w:styleId="z-1">
    <w:name w:val="HTML Bottom of Form"/>
    <w:basedOn w:val="a"/>
    <w:next w:val="a"/>
    <w:link w:val="z-2"/>
    <w:hidden/>
    <w:uiPriority w:val="99"/>
    <w:semiHidden/>
    <w:unhideWhenUsed/>
    <w:rsid w:val="00B06169"/>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B06169"/>
    <w:rPr>
      <w:rFonts w:ascii="Arial" w:hAnsi="Arial" w:cs="Arial"/>
      <w:vanish/>
      <w:sz w:val="16"/>
      <w:szCs w:val="16"/>
    </w:rPr>
  </w:style>
  <w:style w:type="character" w:customStyle="1" w:styleId="jpfdse">
    <w:name w:val="jpfdse"/>
    <w:basedOn w:val="a0"/>
    <w:rsid w:val="004439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813708">
      <w:bodyDiv w:val="1"/>
      <w:marLeft w:val="0"/>
      <w:marRight w:val="0"/>
      <w:marTop w:val="0"/>
      <w:marBottom w:val="0"/>
      <w:divBdr>
        <w:top w:val="none" w:sz="0" w:space="0" w:color="auto"/>
        <w:left w:val="none" w:sz="0" w:space="0" w:color="auto"/>
        <w:bottom w:val="none" w:sz="0" w:space="0" w:color="auto"/>
        <w:right w:val="none" w:sz="0" w:space="0" w:color="auto"/>
      </w:divBdr>
      <w:divsChild>
        <w:div w:id="697856403">
          <w:marLeft w:val="0"/>
          <w:marRight w:val="0"/>
          <w:marTop w:val="0"/>
          <w:marBottom w:val="0"/>
          <w:divBdr>
            <w:top w:val="none" w:sz="0" w:space="0" w:color="auto"/>
            <w:left w:val="none" w:sz="0" w:space="0" w:color="auto"/>
            <w:bottom w:val="none" w:sz="0" w:space="0" w:color="auto"/>
            <w:right w:val="none" w:sz="0" w:space="0" w:color="auto"/>
          </w:divBdr>
          <w:divsChild>
            <w:div w:id="368338909">
              <w:marLeft w:val="0"/>
              <w:marRight w:val="0"/>
              <w:marTop w:val="0"/>
              <w:marBottom w:val="0"/>
              <w:divBdr>
                <w:top w:val="none" w:sz="0" w:space="0" w:color="auto"/>
                <w:left w:val="none" w:sz="0" w:space="0" w:color="auto"/>
                <w:bottom w:val="none" w:sz="0" w:space="0" w:color="auto"/>
                <w:right w:val="none" w:sz="0" w:space="0" w:color="auto"/>
              </w:divBdr>
              <w:divsChild>
                <w:div w:id="1313174733">
                  <w:marLeft w:val="0"/>
                  <w:marRight w:val="0"/>
                  <w:marTop w:val="0"/>
                  <w:marBottom w:val="0"/>
                  <w:divBdr>
                    <w:top w:val="none" w:sz="0" w:space="0" w:color="auto"/>
                    <w:left w:val="none" w:sz="0" w:space="0" w:color="auto"/>
                    <w:bottom w:val="none" w:sz="0" w:space="0" w:color="auto"/>
                    <w:right w:val="none" w:sz="0" w:space="0" w:color="auto"/>
                  </w:divBdr>
                  <w:divsChild>
                    <w:div w:id="235672159">
                      <w:marLeft w:val="0"/>
                      <w:marRight w:val="0"/>
                      <w:marTop w:val="0"/>
                      <w:marBottom w:val="0"/>
                      <w:divBdr>
                        <w:top w:val="none" w:sz="0" w:space="0" w:color="auto"/>
                        <w:left w:val="none" w:sz="0" w:space="0" w:color="auto"/>
                        <w:bottom w:val="none" w:sz="0" w:space="0" w:color="auto"/>
                        <w:right w:val="none" w:sz="0" w:space="0" w:color="auto"/>
                      </w:divBdr>
                      <w:divsChild>
                        <w:div w:id="1759716962">
                          <w:marLeft w:val="0"/>
                          <w:marRight w:val="0"/>
                          <w:marTop w:val="0"/>
                          <w:marBottom w:val="0"/>
                          <w:divBdr>
                            <w:top w:val="none" w:sz="0" w:space="0" w:color="auto"/>
                            <w:left w:val="none" w:sz="0" w:space="0" w:color="auto"/>
                            <w:bottom w:val="none" w:sz="0" w:space="0" w:color="auto"/>
                            <w:right w:val="none" w:sz="0" w:space="0" w:color="auto"/>
                          </w:divBdr>
                          <w:divsChild>
                            <w:div w:id="2118862222">
                              <w:marLeft w:val="0"/>
                              <w:marRight w:val="0"/>
                              <w:marTop w:val="0"/>
                              <w:marBottom w:val="0"/>
                              <w:divBdr>
                                <w:top w:val="none" w:sz="0" w:space="0" w:color="auto"/>
                                <w:left w:val="none" w:sz="0" w:space="0" w:color="auto"/>
                                <w:bottom w:val="none" w:sz="0" w:space="0" w:color="auto"/>
                                <w:right w:val="none" w:sz="0" w:space="0" w:color="auto"/>
                              </w:divBdr>
                              <w:divsChild>
                                <w:div w:id="407044309">
                                  <w:marLeft w:val="0"/>
                                  <w:marRight w:val="0"/>
                                  <w:marTop w:val="0"/>
                                  <w:marBottom w:val="0"/>
                                  <w:divBdr>
                                    <w:top w:val="none" w:sz="0" w:space="0" w:color="auto"/>
                                    <w:left w:val="none" w:sz="0" w:space="0" w:color="auto"/>
                                    <w:bottom w:val="none" w:sz="0" w:space="0" w:color="auto"/>
                                    <w:right w:val="none" w:sz="0" w:space="0" w:color="auto"/>
                                  </w:divBdr>
                                  <w:divsChild>
                                    <w:div w:id="1230073601">
                                      <w:marLeft w:val="0"/>
                                      <w:marRight w:val="0"/>
                                      <w:marTop w:val="0"/>
                                      <w:marBottom w:val="0"/>
                                      <w:divBdr>
                                        <w:top w:val="none" w:sz="0" w:space="0" w:color="auto"/>
                                        <w:left w:val="none" w:sz="0" w:space="0" w:color="auto"/>
                                        <w:bottom w:val="none" w:sz="0" w:space="0" w:color="auto"/>
                                        <w:right w:val="none" w:sz="0" w:space="0" w:color="auto"/>
                                      </w:divBdr>
                                      <w:divsChild>
                                        <w:div w:id="1496531931">
                                          <w:marLeft w:val="0"/>
                                          <w:marRight w:val="0"/>
                                          <w:marTop w:val="0"/>
                                          <w:marBottom w:val="0"/>
                                          <w:divBdr>
                                            <w:top w:val="none" w:sz="0" w:space="0" w:color="auto"/>
                                            <w:left w:val="none" w:sz="0" w:space="0" w:color="auto"/>
                                            <w:bottom w:val="none" w:sz="0" w:space="0" w:color="auto"/>
                                            <w:right w:val="none" w:sz="0" w:space="0" w:color="auto"/>
                                          </w:divBdr>
                                          <w:divsChild>
                                            <w:div w:id="2131588679">
                                              <w:marLeft w:val="0"/>
                                              <w:marRight w:val="0"/>
                                              <w:marTop w:val="0"/>
                                              <w:marBottom w:val="0"/>
                                              <w:divBdr>
                                                <w:top w:val="none" w:sz="0" w:space="0" w:color="auto"/>
                                                <w:left w:val="none" w:sz="0" w:space="0" w:color="auto"/>
                                                <w:bottom w:val="none" w:sz="0" w:space="0" w:color="auto"/>
                                                <w:right w:val="none" w:sz="0" w:space="0" w:color="auto"/>
                                              </w:divBdr>
                                            </w:div>
                                            <w:div w:id="1747922636">
                                              <w:marLeft w:val="0"/>
                                              <w:marRight w:val="0"/>
                                              <w:marTop w:val="0"/>
                                              <w:marBottom w:val="0"/>
                                              <w:divBdr>
                                                <w:top w:val="none" w:sz="0" w:space="0" w:color="auto"/>
                                                <w:left w:val="none" w:sz="0" w:space="0" w:color="auto"/>
                                                <w:bottom w:val="none" w:sz="0" w:space="0" w:color="auto"/>
                                                <w:right w:val="none" w:sz="0" w:space="0" w:color="auto"/>
                                              </w:divBdr>
                                              <w:divsChild>
                                                <w:div w:id="1223174266">
                                                  <w:marLeft w:val="0"/>
                                                  <w:marRight w:val="0"/>
                                                  <w:marTop w:val="0"/>
                                                  <w:marBottom w:val="0"/>
                                                  <w:divBdr>
                                                    <w:top w:val="none" w:sz="0" w:space="0" w:color="auto"/>
                                                    <w:left w:val="none" w:sz="0" w:space="0" w:color="auto"/>
                                                    <w:bottom w:val="none" w:sz="0" w:space="0" w:color="auto"/>
                                                    <w:right w:val="none" w:sz="0" w:space="0" w:color="auto"/>
                                                  </w:divBdr>
                                                  <w:divsChild>
                                                    <w:div w:id="394277083">
                                                      <w:marLeft w:val="0"/>
                                                      <w:marRight w:val="0"/>
                                                      <w:marTop w:val="0"/>
                                                      <w:marBottom w:val="0"/>
                                                      <w:divBdr>
                                                        <w:top w:val="none" w:sz="0" w:space="0" w:color="auto"/>
                                                        <w:left w:val="none" w:sz="0" w:space="0" w:color="auto"/>
                                                        <w:bottom w:val="none" w:sz="0" w:space="0" w:color="auto"/>
                                                        <w:right w:val="none" w:sz="0" w:space="0" w:color="auto"/>
                                                      </w:divBdr>
                                                      <w:divsChild>
                                                        <w:div w:id="3366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1838910">
          <w:marLeft w:val="0"/>
          <w:marRight w:val="0"/>
          <w:marTop w:val="0"/>
          <w:marBottom w:val="0"/>
          <w:divBdr>
            <w:top w:val="none" w:sz="0" w:space="0" w:color="auto"/>
            <w:left w:val="none" w:sz="0" w:space="0" w:color="auto"/>
            <w:bottom w:val="none" w:sz="0" w:space="0" w:color="auto"/>
            <w:right w:val="none" w:sz="0" w:space="0" w:color="auto"/>
          </w:divBdr>
          <w:divsChild>
            <w:div w:id="1616524276">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929041">
      <w:bodyDiv w:val="1"/>
      <w:marLeft w:val="0"/>
      <w:marRight w:val="0"/>
      <w:marTop w:val="0"/>
      <w:marBottom w:val="0"/>
      <w:divBdr>
        <w:top w:val="none" w:sz="0" w:space="0" w:color="auto"/>
        <w:left w:val="none" w:sz="0" w:space="0" w:color="auto"/>
        <w:bottom w:val="none" w:sz="0" w:space="0" w:color="auto"/>
        <w:right w:val="none" w:sz="0" w:space="0" w:color="auto"/>
      </w:divBdr>
      <w:divsChild>
        <w:div w:id="617104833">
          <w:marLeft w:val="0"/>
          <w:marRight w:val="0"/>
          <w:marTop w:val="0"/>
          <w:marBottom w:val="0"/>
          <w:divBdr>
            <w:top w:val="none" w:sz="0" w:space="0" w:color="auto"/>
            <w:left w:val="none" w:sz="0" w:space="0" w:color="auto"/>
            <w:bottom w:val="none" w:sz="0" w:space="0" w:color="auto"/>
            <w:right w:val="none" w:sz="0" w:space="0" w:color="auto"/>
          </w:divBdr>
          <w:divsChild>
            <w:div w:id="758477955">
              <w:marLeft w:val="0"/>
              <w:marRight w:val="0"/>
              <w:marTop w:val="0"/>
              <w:marBottom w:val="0"/>
              <w:divBdr>
                <w:top w:val="none" w:sz="0" w:space="0" w:color="auto"/>
                <w:left w:val="none" w:sz="0" w:space="0" w:color="auto"/>
                <w:bottom w:val="none" w:sz="0" w:space="0" w:color="auto"/>
                <w:right w:val="none" w:sz="0" w:space="0" w:color="auto"/>
              </w:divBdr>
            </w:div>
            <w:div w:id="227957170">
              <w:marLeft w:val="0"/>
              <w:marRight w:val="0"/>
              <w:marTop w:val="0"/>
              <w:marBottom w:val="0"/>
              <w:divBdr>
                <w:top w:val="none" w:sz="0" w:space="0" w:color="auto"/>
                <w:left w:val="none" w:sz="0" w:space="0" w:color="auto"/>
                <w:bottom w:val="none" w:sz="0" w:space="0" w:color="auto"/>
                <w:right w:val="none" w:sz="0" w:space="0" w:color="auto"/>
              </w:divBdr>
              <w:divsChild>
                <w:div w:id="1642533900">
                  <w:marLeft w:val="0"/>
                  <w:marRight w:val="0"/>
                  <w:marTop w:val="0"/>
                  <w:marBottom w:val="0"/>
                  <w:divBdr>
                    <w:top w:val="none" w:sz="0" w:space="0" w:color="auto"/>
                    <w:left w:val="none" w:sz="0" w:space="0" w:color="auto"/>
                    <w:bottom w:val="none" w:sz="0" w:space="0" w:color="auto"/>
                    <w:right w:val="none" w:sz="0" w:space="0" w:color="auto"/>
                  </w:divBdr>
                  <w:divsChild>
                    <w:div w:id="1548251904">
                      <w:marLeft w:val="0"/>
                      <w:marRight w:val="0"/>
                      <w:marTop w:val="0"/>
                      <w:marBottom w:val="0"/>
                      <w:divBdr>
                        <w:top w:val="none" w:sz="0" w:space="0" w:color="auto"/>
                        <w:left w:val="none" w:sz="0" w:space="0" w:color="auto"/>
                        <w:bottom w:val="none" w:sz="0" w:space="0" w:color="auto"/>
                        <w:right w:val="none" w:sz="0" w:space="0" w:color="auto"/>
                      </w:divBdr>
                      <w:divsChild>
                        <w:div w:id="16601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079064">
      <w:bodyDiv w:val="1"/>
      <w:marLeft w:val="0"/>
      <w:marRight w:val="0"/>
      <w:marTop w:val="0"/>
      <w:marBottom w:val="0"/>
      <w:divBdr>
        <w:top w:val="none" w:sz="0" w:space="0" w:color="auto"/>
        <w:left w:val="none" w:sz="0" w:space="0" w:color="auto"/>
        <w:bottom w:val="none" w:sz="0" w:space="0" w:color="auto"/>
        <w:right w:val="none" w:sz="0" w:space="0" w:color="auto"/>
      </w:divBdr>
      <w:divsChild>
        <w:div w:id="87702574">
          <w:marLeft w:val="0"/>
          <w:marRight w:val="0"/>
          <w:marTop w:val="0"/>
          <w:marBottom w:val="0"/>
          <w:divBdr>
            <w:top w:val="none" w:sz="0" w:space="0" w:color="auto"/>
            <w:left w:val="none" w:sz="0" w:space="0" w:color="auto"/>
            <w:bottom w:val="none" w:sz="0" w:space="0" w:color="auto"/>
            <w:right w:val="none" w:sz="0" w:space="0" w:color="auto"/>
          </w:divBdr>
          <w:divsChild>
            <w:div w:id="1987276536">
              <w:marLeft w:val="0"/>
              <w:marRight w:val="0"/>
              <w:marTop w:val="0"/>
              <w:marBottom w:val="0"/>
              <w:divBdr>
                <w:top w:val="none" w:sz="0" w:space="0" w:color="auto"/>
                <w:left w:val="none" w:sz="0" w:space="0" w:color="auto"/>
                <w:bottom w:val="none" w:sz="0" w:space="0" w:color="auto"/>
                <w:right w:val="none" w:sz="0" w:space="0" w:color="auto"/>
              </w:divBdr>
            </w:div>
            <w:div w:id="1453942214">
              <w:marLeft w:val="0"/>
              <w:marRight w:val="0"/>
              <w:marTop w:val="0"/>
              <w:marBottom w:val="0"/>
              <w:divBdr>
                <w:top w:val="none" w:sz="0" w:space="0" w:color="auto"/>
                <w:left w:val="none" w:sz="0" w:space="0" w:color="auto"/>
                <w:bottom w:val="none" w:sz="0" w:space="0" w:color="auto"/>
                <w:right w:val="none" w:sz="0" w:space="0" w:color="auto"/>
              </w:divBdr>
              <w:divsChild>
                <w:div w:id="1548376786">
                  <w:marLeft w:val="0"/>
                  <w:marRight w:val="0"/>
                  <w:marTop w:val="0"/>
                  <w:marBottom w:val="0"/>
                  <w:divBdr>
                    <w:top w:val="none" w:sz="0" w:space="0" w:color="auto"/>
                    <w:left w:val="none" w:sz="0" w:space="0" w:color="auto"/>
                    <w:bottom w:val="none" w:sz="0" w:space="0" w:color="auto"/>
                    <w:right w:val="none" w:sz="0" w:space="0" w:color="auto"/>
                  </w:divBdr>
                  <w:divsChild>
                    <w:div w:id="604849439">
                      <w:marLeft w:val="0"/>
                      <w:marRight w:val="0"/>
                      <w:marTop w:val="0"/>
                      <w:marBottom w:val="0"/>
                      <w:divBdr>
                        <w:top w:val="none" w:sz="0" w:space="0" w:color="auto"/>
                        <w:left w:val="none" w:sz="0" w:space="0" w:color="auto"/>
                        <w:bottom w:val="none" w:sz="0" w:space="0" w:color="auto"/>
                        <w:right w:val="none" w:sz="0" w:space="0" w:color="auto"/>
                      </w:divBdr>
                      <w:divsChild>
                        <w:div w:id="151841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095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en-US"/>
              <a:t>Share of income from intellectual property assets for the year 2023.</a:t>
            </a:r>
          </a:p>
        </c:rich>
      </c:tx>
      <c:layout>
        <c:manualLayout>
          <c:xMode val="edge"/>
          <c:yMode val="edge"/>
          <c:x val="0.11281553398058253"/>
          <c:y val="1.0869565217391304E-2"/>
        </c:manualLayout>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ru-RU"/>
        </a:p>
      </c:txPr>
    </c:title>
    <c:autoTitleDeleted val="0"/>
    <c:plotArea>
      <c:layout/>
      <c:pieChart>
        <c:varyColors val="1"/>
        <c:ser>
          <c:idx val="0"/>
          <c:order val="0"/>
          <c:tx>
            <c:strRef>
              <c:f>Лист1!$B$1</c:f>
              <c:strCache>
                <c:ptCount val="1"/>
                <c:pt idx="0">
                  <c:v>Доход от оказания гос.услуг и других юридически значимых действий по итогам 2023 года</c:v>
                </c:pt>
              </c:strCache>
            </c:strRef>
          </c:tx>
          <c:spPr>
            <a:effectLst>
              <a:outerShdw blurRad="139700" dist="50800" dir="4560000" algn="ctr" rotWithShape="0">
                <a:srgbClr val="000000">
                  <a:alpha val="43137"/>
                </a:srgbClr>
              </a:outerShdw>
            </a:effectLst>
          </c:spPr>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1-FD09-4291-A778-E53344B8C482}"/>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3-FD09-4291-A778-E53344B8C482}"/>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5-FD09-4291-A778-E53344B8C482}"/>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7-FD09-4291-A778-E53344B8C482}"/>
              </c:ext>
            </c:extLst>
          </c:dPt>
          <c:dPt>
            <c:idx val="4"/>
            <c:bubble3D val="0"/>
            <c:spPr>
              <a:gradFill>
                <a:gsLst>
                  <a:gs pos="100000">
                    <a:schemeClr val="accent5">
                      <a:lumMod val="60000"/>
                      <a:lumOff val="40000"/>
                    </a:schemeClr>
                  </a:gs>
                  <a:gs pos="0">
                    <a:schemeClr val="accent5"/>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9-FD09-4291-A778-E53344B8C482}"/>
              </c:ext>
            </c:extLst>
          </c:dPt>
          <c:dPt>
            <c:idx val="5"/>
            <c:bubble3D val="0"/>
            <c:spPr>
              <a:gradFill>
                <a:gsLst>
                  <a:gs pos="100000">
                    <a:schemeClr val="accent6">
                      <a:lumMod val="60000"/>
                      <a:lumOff val="40000"/>
                    </a:schemeClr>
                  </a:gs>
                  <a:gs pos="0">
                    <a:schemeClr val="accent6"/>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B-FD09-4291-A778-E53344B8C482}"/>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D-FD09-4291-A778-E53344B8C482}"/>
              </c:ext>
            </c:extLst>
          </c:dPt>
          <c:dPt>
            <c:idx val="7"/>
            <c:bubble3D val="0"/>
            <c:spPr>
              <a:gradFill>
                <a:gsLst>
                  <a:gs pos="100000">
                    <a:schemeClr val="accent2">
                      <a:lumMod val="60000"/>
                      <a:lumMod val="60000"/>
                      <a:lumOff val="40000"/>
                    </a:schemeClr>
                  </a:gs>
                  <a:gs pos="0">
                    <a:schemeClr val="accent2">
                      <a:lumMod val="60000"/>
                    </a:schemeClr>
                  </a:gs>
                </a:gsLst>
                <a:lin ang="5400000" scaled="0"/>
              </a:gradFill>
              <a:ln w="19050">
                <a:solidFill>
                  <a:schemeClr val="lt1"/>
                </a:solidFill>
              </a:ln>
              <a:effectLst>
                <a:outerShdw blurRad="139700" dist="50800" dir="4560000" algn="ctr" rotWithShape="0">
                  <a:srgbClr val="000000">
                    <a:alpha val="43137"/>
                  </a:srgbClr>
                </a:outerShdw>
              </a:effectLst>
            </c:spPr>
            <c:extLst>
              <c:ext xmlns:c16="http://schemas.microsoft.com/office/drawing/2014/chart" uri="{C3380CC4-5D6E-409C-BE32-E72D297353CC}">
                <c16:uniqueId val="{0000000F-FD09-4291-A778-E53344B8C482}"/>
              </c:ext>
            </c:extLst>
          </c:dPt>
          <c:dLbls>
            <c:dLbl>
              <c:idx val="0"/>
              <c:layout>
                <c:manualLayout>
                  <c:x val="1.9538771245827202E-2"/>
                  <c:y val="-0.16243837726805901"/>
                </c:manualLayout>
              </c:layout>
              <c:tx>
                <c:rich>
                  <a:bodyPr/>
                  <a:lstStyle/>
                  <a:p>
                    <a:r>
                      <a:rPr lang="en-US" baseline="0"/>
                      <a:t>Trademarks
</a:t>
                    </a:r>
                    <a:fld id="{78ABD15F-6B61-4D63-8C1B-5CC95F7FF617}" type="PERCENTAGE">
                      <a:rPr lang="en-US" baseline="0"/>
                      <a:pPr/>
                      <a:t>[ПРОЦЕНТ]</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D09-4291-A778-E53344B8C482}"/>
                </c:ext>
              </c:extLst>
            </c:dLbl>
            <c:dLbl>
              <c:idx val="1"/>
              <c:layout>
                <c:manualLayout>
                  <c:x val="-5.8001172183574118E-2"/>
                  <c:y val="6.2516261554262237E-2"/>
                </c:manualLayout>
              </c:layout>
              <c:tx>
                <c:rich>
                  <a:bodyPr/>
                  <a:lstStyle/>
                  <a:p>
                    <a:r>
                      <a:rPr lang="en-US" sz="1200" b="0" i="0" u="none" strike="noStrike" baseline="0"/>
                      <a:t>Industrial designs</a:t>
                    </a:r>
                    <a:r>
                      <a:rPr lang="en-US" baseline="0"/>
                      <a:t>
</a:t>
                    </a:r>
                    <a:fld id="{9AA6A76B-F62D-4088-B939-A191C962BC80}" type="PERCENTAGE">
                      <a:rPr lang="en-US" baseline="0"/>
                      <a:pPr/>
                      <a:t>[ПРОЦЕНТ]</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D09-4291-A778-E53344B8C482}"/>
                </c:ext>
              </c:extLst>
            </c:dLbl>
            <c:dLbl>
              <c:idx val="2"/>
              <c:layout>
                <c:manualLayout>
                  <c:x val="-7.0300095983147737E-2"/>
                  <c:y val="-0.10882374757503152"/>
                </c:manualLayout>
              </c:layout>
              <c:tx>
                <c:rich>
                  <a:bodyPr/>
                  <a:lstStyle/>
                  <a:p>
                    <a:r>
                      <a:rPr lang="en-US" baseline="0"/>
                      <a:t>Copyright
</a:t>
                    </a:r>
                    <a:fld id="{7DD065A1-D624-4E75-B586-64707232B130}" type="PERCENTAGE">
                      <a:rPr lang="en-US" baseline="0"/>
                      <a:pPr/>
                      <a:t>[ПРОЦЕНТ]</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D09-4291-A778-E53344B8C482}"/>
                </c:ext>
              </c:extLst>
            </c:dLbl>
            <c:dLbl>
              <c:idx val="3"/>
              <c:layout>
                <c:manualLayout>
                  <c:x val="-2.1798197555402663E-2"/>
                  <c:y val="-0.28953911331735704"/>
                </c:manualLayout>
              </c:layout>
              <c:tx>
                <c:rich>
                  <a:bodyPr/>
                  <a:lstStyle/>
                  <a:p>
                    <a:r>
                      <a:rPr lang="en-US"/>
                      <a:t>Inventions, utility models</a:t>
                    </a:r>
                    <a:r>
                      <a:rPr lang="en-US" baseline="0"/>
                      <a:t>
</a:t>
                    </a:r>
                    <a:fld id="{C40D46B7-F789-431F-A1A0-B22A7A4EEA42}" type="PERCENTAGE">
                      <a:rPr lang="en-US" baseline="0"/>
                      <a:pPr/>
                      <a:t>[ПРОЦЕНТ]</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24261057173678532"/>
                      <c:h val="0.21086956521739128"/>
                    </c:manualLayout>
                  </c15:layout>
                  <c15:dlblFieldTable/>
                  <c15:showDataLabelsRange val="0"/>
                </c:ext>
                <c:ext xmlns:c16="http://schemas.microsoft.com/office/drawing/2014/chart" uri="{C3380CC4-5D6E-409C-BE32-E72D297353CC}">
                  <c16:uniqueId val="{00000007-FD09-4291-A778-E53344B8C482}"/>
                </c:ext>
              </c:extLst>
            </c:dLbl>
            <c:dLbl>
              <c:idx val="4"/>
              <c:layout>
                <c:manualLayout>
                  <c:x val="-1.1423013870838961E-2"/>
                  <c:y val="0.32073476549127011"/>
                </c:manualLayout>
              </c:layout>
              <c:tx>
                <c:rich>
                  <a:bodyPr/>
                  <a:lstStyle/>
                  <a:p>
                    <a:r>
                      <a:rPr lang="en-US"/>
                      <a:t>Government registers and publication of information</a:t>
                    </a:r>
                    <a:r>
                      <a:rPr lang="en-US" baseline="0"/>
                      <a:t>
</a:t>
                    </a:r>
                    <a:fld id="{24011EE6-4DC3-4A53-A675-8D0ADC11AA2D}" type="PERCENTAGE">
                      <a:rPr lang="en-US" baseline="0"/>
                      <a:pPr/>
                      <a:t>[ПРОЦЕНТ]</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25759447544785058"/>
                      <c:h val="0.21086956521739128"/>
                    </c:manualLayout>
                  </c15:layout>
                  <c15:dlblFieldTable/>
                  <c15:showDataLabelsRange val="0"/>
                </c:ext>
                <c:ext xmlns:c16="http://schemas.microsoft.com/office/drawing/2014/chart" uri="{C3380CC4-5D6E-409C-BE32-E72D297353CC}">
                  <c16:uniqueId val="{00000009-FD09-4291-A778-E53344B8C482}"/>
                </c:ext>
              </c:extLst>
            </c:dLbl>
            <c:dLbl>
              <c:idx val="5"/>
              <c:layout>
                <c:manualLayout>
                  <c:x val="-1.6646110983699773E-2"/>
                  <c:y val="-0.21066330023964397"/>
                </c:manualLayout>
              </c:layout>
              <c:tx>
                <c:rich>
                  <a:bodyPr/>
                  <a:lstStyle/>
                  <a:p>
                    <a:r>
                      <a:rPr lang="en-US"/>
                      <a:t>Selection Achievement</a:t>
                    </a:r>
                    <a:r>
                      <a:rPr lang="en-US" baseline="0"/>
                      <a:t>
</a:t>
                    </a:r>
                    <a:fld id="{C06D184D-5320-4063-AA37-FFF9BF6CBAF2}" type="PERCENTAGE">
                      <a:rPr lang="en-US" baseline="0"/>
                      <a:pPr/>
                      <a:t>[ПРОЦЕНТ]</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2416612729234088"/>
                      <c:h val="0.16086956521739129"/>
                    </c:manualLayout>
                  </c15:layout>
                  <c15:dlblFieldTable/>
                  <c15:showDataLabelsRange val="0"/>
                </c:ext>
                <c:ext xmlns:c16="http://schemas.microsoft.com/office/drawing/2014/chart" uri="{C3380CC4-5D6E-409C-BE32-E72D297353CC}">
                  <c16:uniqueId val="{0000000B-FD09-4291-A778-E53344B8C482}"/>
                </c:ext>
              </c:extLst>
            </c:dLbl>
            <c:dLbl>
              <c:idx val="6"/>
              <c:layout>
                <c:manualLayout>
                  <c:x val="7.7881745364353716E-2"/>
                  <c:y val="6.0981113773821753E-2"/>
                </c:manualLayout>
              </c:layout>
              <c:tx>
                <c:rich>
                  <a:bodyPr/>
                  <a:lstStyle/>
                  <a:p>
                    <a:r>
                      <a:rPr lang="en-US"/>
                      <a:t>Registration of agreements</a:t>
                    </a:r>
                    <a:r>
                      <a:rPr lang="en-US" baseline="0"/>
                      <a:t>
</a:t>
                    </a:r>
                    <a:fld id="{E7E44651-39A4-45BC-9E91-70AF453F5AE0}" type="PERCENTAGE">
                      <a:rPr lang="en-US" baseline="0"/>
                      <a:pPr/>
                      <a:t>[ПРОЦЕНТ]</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20510239618105988"/>
                      <c:h val="0.16086956521739129"/>
                    </c:manualLayout>
                  </c15:layout>
                  <c15:dlblFieldTable/>
                  <c15:showDataLabelsRange val="0"/>
                </c:ext>
                <c:ext xmlns:c16="http://schemas.microsoft.com/office/drawing/2014/chart" uri="{C3380CC4-5D6E-409C-BE32-E72D297353CC}">
                  <c16:uniqueId val="{0000000D-FD09-4291-A778-E53344B8C482}"/>
                </c:ext>
              </c:extLst>
            </c:dLbl>
            <c:dLbl>
              <c:idx val="7"/>
              <c:layout>
                <c:manualLayout>
                  <c:x val="2.9804211366783032E-2"/>
                  <c:y val="0.13459774049982884"/>
                </c:manualLayout>
              </c:layout>
              <c:tx>
                <c:rich>
                  <a:bodyPr/>
                  <a:lstStyle/>
                  <a:p>
                    <a:r>
                      <a:rPr lang="en-US"/>
                      <a:t>Thematic searches</a:t>
                    </a:r>
                    <a:r>
                      <a:rPr lang="en-US" baseline="0"/>
                      <a:t>
</a:t>
                    </a:r>
                    <a:fld id="{997469DF-CCD1-43AF-A7BE-787EA6451D3B}" type="PERCENTAGE">
                      <a:rPr lang="en-US" baseline="0"/>
                      <a:pPr/>
                      <a:t>[ПРОЦЕНТ]</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layout>
                    <c:manualLayout>
                      <c:w val="0.21429333469238676"/>
                      <c:h val="0.16086956521739129"/>
                    </c:manualLayout>
                  </c15:layout>
                  <c15:dlblFieldTable/>
                  <c15:showDataLabelsRange val="0"/>
                </c:ext>
                <c:ext xmlns:c16="http://schemas.microsoft.com/office/drawing/2014/chart" uri="{C3380CC4-5D6E-409C-BE32-E72D297353CC}">
                  <c16:uniqueId val="{0000000F-FD09-4291-A778-E53344B8C482}"/>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dk1">
                        <a:lumMod val="75000"/>
                        <a:lumOff val="25000"/>
                      </a:schemeClr>
                    </a:solidFill>
                    <a:latin typeface="Times New Roman" panose="02020603050405020304" pitchFamily="18" charset="0"/>
                    <a:ea typeface="+mn-ea"/>
                    <a:cs typeface="+mn-cs"/>
                  </a:defRPr>
                </a:pPr>
                <a:endParaRPr lang="ru-RU"/>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товарные знаки</c:v>
                </c:pt>
                <c:pt idx="1">
                  <c:v>промышленные образцы</c:v>
                </c:pt>
                <c:pt idx="2">
                  <c:v>авторское право</c:v>
                </c:pt>
                <c:pt idx="3">
                  <c:v>изобретения, полезные модели</c:v>
                </c:pt>
                <c:pt idx="4">
                  <c:v>госреестры и публикация сведений</c:v>
                </c:pt>
                <c:pt idx="5">
                  <c:v>селекционные достижения</c:v>
                </c:pt>
                <c:pt idx="6">
                  <c:v>регистрация договоров</c:v>
                </c:pt>
                <c:pt idx="7">
                  <c:v>тематические поиски</c:v>
                </c:pt>
              </c:strCache>
            </c:strRef>
          </c:cat>
          <c:val>
            <c:numRef>
              <c:f>Лист1!$B$2:$B$9</c:f>
              <c:numCache>
                <c:formatCode>General</c:formatCode>
                <c:ptCount val="8"/>
                <c:pt idx="0">
                  <c:v>588.03200000000004</c:v>
                </c:pt>
                <c:pt idx="1">
                  <c:v>8.1829999999999998</c:v>
                </c:pt>
                <c:pt idx="2">
                  <c:v>72.804000000000002</c:v>
                </c:pt>
                <c:pt idx="3">
                  <c:v>47.31</c:v>
                </c:pt>
                <c:pt idx="4">
                  <c:v>855.39899999999989</c:v>
                </c:pt>
                <c:pt idx="5">
                  <c:v>11.513</c:v>
                </c:pt>
                <c:pt idx="6">
                  <c:v>69.296000000000006</c:v>
                </c:pt>
                <c:pt idx="7">
                  <c:v>64.745000000000005</c:v>
                </c:pt>
              </c:numCache>
            </c:numRef>
          </c:val>
          <c:extLst>
            <c:ext xmlns:c16="http://schemas.microsoft.com/office/drawing/2014/chart" uri="{C3380CC4-5D6E-409C-BE32-E72D297353CC}">
              <c16:uniqueId val="{00000000-3D3A-4146-A9A1-5B0E503FAC07}"/>
            </c:ext>
          </c:extLst>
        </c:ser>
        <c:dLbls>
          <c:dLblPos val="inEnd"/>
          <c:showLegendKey val="0"/>
          <c:showVal val="0"/>
          <c:showCatName val="0"/>
          <c:showSerName val="0"/>
          <c:showPercent val="1"/>
          <c:showBubbleSize val="0"/>
          <c:showLeaderLines val="1"/>
        </c:dLbls>
        <c:firstSliceAng val="122"/>
      </c:pieChart>
      <c:spPr>
        <a:noFill/>
        <a:ln>
          <a:noFill/>
        </a:ln>
        <a:effectLst/>
      </c:spPr>
    </c:plotArea>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443</Words>
  <Characters>2530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Сатыбалдина Лаура Кайратовна</dc:creator>
  <cp:keywords/>
  <dc:description/>
  <cp:lastModifiedBy>Нуралина Дильда Дауленовна</cp:lastModifiedBy>
  <cp:revision>3</cp:revision>
  <cp:lastPrinted>2021-06-10T06:44:00Z</cp:lastPrinted>
  <dcterms:created xsi:type="dcterms:W3CDTF">2024-06-21T11:44:00Z</dcterms:created>
  <dcterms:modified xsi:type="dcterms:W3CDTF">2024-06-24T12:02:00Z</dcterms:modified>
</cp:coreProperties>
</file>