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:rsidR="00FE72E9" w:rsidRDefault="00FE72E9" w:rsidP="00C1121F">
      <w:pPr>
        <w:jc w:val="center"/>
        <w:rPr>
          <w:b/>
          <w:sz w:val="28"/>
          <w:szCs w:val="28"/>
          <w:lang w:val="kk-KZ"/>
        </w:rPr>
      </w:pPr>
    </w:p>
    <w:p w:rsidR="00C1121F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«Ұлттық зияткерлік меншік институты» РМК 202</w:t>
      </w:r>
      <w:r w:rsidR="00C7296A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жылғы </w:t>
      </w:r>
    </w:p>
    <w:p w:rsidR="00C1121F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қаржылық-шаруашылық қызметінің нәтижелері бойынша </w:t>
      </w:r>
    </w:p>
    <w:p w:rsidR="00C1121F" w:rsidRPr="00213833" w:rsidRDefault="00C1121F" w:rsidP="00C1121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:rsidR="00C1121F" w:rsidRPr="00C1121F" w:rsidRDefault="00C1121F" w:rsidP="00C761DD">
      <w:pPr>
        <w:jc w:val="center"/>
        <w:rPr>
          <w:b/>
          <w:sz w:val="28"/>
          <w:szCs w:val="28"/>
          <w:lang w:val="kk-KZ"/>
        </w:rPr>
      </w:pPr>
    </w:p>
    <w:p w:rsidR="00CA643D" w:rsidRPr="00767B05" w:rsidRDefault="00CA643D">
      <w:pPr>
        <w:rPr>
          <w:sz w:val="28"/>
          <w:szCs w:val="28"/>
          <w:lang w:val="kk-KZ"/>
        </w:rPr>
      </w:pPr>
    </w:p>
    <w:p w:rsidR="00C24813" w:rsidRPr="00C24813" w:rsidRDefault="00C7296A" w:rsidP="00C24813">
      <w:pPr>
        <w:ind w:firstLine="709"/>
        <w:jc w:val="both"/>
        <w:rPr>
          <w:i/>
          <w:lang w:val="kk-KZ"/>
        </w:rPr>
      </w:pPr>
      <w:r>
        <w:rPr>
          <w:sz w:val="28"/>
          <w:szCs w:val="28"/>
          <w:lang w:val="kk-KZ"/>
        </w:rPr>
        <w:t xml:space="preserve">ҚР ӘМ ЗМҚК </w:t>
      </w:r>
      <w:r w:rsidR="00D171E4">
        <w:rPr>
          <w:sz w:val="28"/>
          <w:szCs w:val="28"/>
          <w:lang w:val="kk-KZ"/>
        </w:rPr>
        <w:t>«ҰЗМИ» ШЖ</w:t>
      </w:r>
      <w:r w:rsidR="00C1121F" w:rsidRPr="00213833">
        <w:rPr>
          <w:sz w:val="28"/>
          <w:szCs w:val="28"/>
          <w:lang w:val="kk-KZ"/>
        </w:rPr>
        <w:t>Қ РМК</w:t>
      </w:r>
      <w:r w:rsidR="00C1121F">
        <w:rPr>
          <w:sz w:val="28"/>
          <w:szCs w:val="28"/>
          <w:lang w:val="kk-KZ"/>
        </w:rPr>
        <w:t xml:space="preserve"> </w:t>
      </w:r>
      <w:r w:rsidR="00C1121F" w:rsidRPr="00C24813">
        <w:rPr>
          <w:i/>
          <w:sz w:val="28"/>
          <w:szCs w:val="28"/>
          <w:lang w:val="kk-KZ"/>
        </w:rPr>
        <w:t>(бұдан әрі - «ҰЗМИ» РМК)</w:t>
      </w:r>
      <w:r w:rsidR="00C1121F">
        <w:rPr>
          <w:sz w:val="28"/>
          <w:szCs w:val="28"/>
          <w:lang w:val="kk-KZ"/>
        </w:rPr>
        <w:t xml:space="preserve"> Қазақстан Республикасы Әділет министрлігінің</w:t>
      </w:r>
      <w:r w:rsidR="0073560D">
        <w:rPr>
          <w:sz w:val="28"/>
          <w:szCs w:val="28"/>
          <w:lang w:val="kk-KZ"/>
        </w:rPr>
        <w:t xml:space="preserve"> Зияткерлік меншік құқығы комитетінің </w:t>
      </w:r>
      <w:r w:rsidR="00C1121F">
        <w:rPr>
          <w:sz w:val="28"/>
          <w:szCs w:val="28"/>
          <w:lang w:val="kk-KZ"/>
        </w:rPr>
        <w:t xml:space="preserve"> ведомстволық ұйымы болып табылады</w:t>
      </w:r>
      <w:r w:rsidR="00C24813">
        <w:rPr>
          <w:sz w:val="28"/>
          <w:szCs w:val="28"/>
          <w:lang w:val="kk-KZ"/>
        </w:rPr>
        <w:t xml:space="preserve"> </w:t>
      </w:r>
      <w:r w:rsidR="00C24813" w:rsidRPr="00C24813">
        <w:rPr>
          <w:i/>
          <w:lang w:val="kk-KZ"/>
        </w:rPr>
        <w:t>(«Қазақстан Республикасы Әділет министрлігінің кейбір мәселелері туралы» Қазақстан Республикасы Үкіметінің 2024 жылғы 15 шілдедегі № 552 қаулысына сәйкес).</w:t>
      </w:r>
    </w:p>
    <w:p w:rsidR="00C24813" w:rsidRPr="00C24813" w:rsidRDefault="00C24813" w:rsidP="00C24813">
      <w:pPr>
        <w:ind w:firstLine="709"/>
        <w:jc w:val="both"/>
        <w:rPr>
          <w:sz w:val="28"/>
          <w:szCs w:val="28"/>
          <w:lang w:val="kk-KZ"/>
        </w:rPr>
      </w:pPr>
      <w:r w:rsidRPr="00C24813">
        <w:rPr>
          <w:sz w:val="28"/>
          <w:szCs w:val="28"/>
          <w:lang w:val="kk-KZ"/>
        </w:rPr>
        <w:t>«ҰЗМИ» РМК қызметі бюджет қаражатын</w:t>
      </w:r>
      <w:r>
        <w:rPr>
          <w:sz w:val="28"/>
          <w:szCs w:val="28"/>
          <w:lang w:val="kk-KZ"/>
        </w:rPr>
        <w:t>ын қатысуысыз</w:t>
      </w:r>
      <w:r w:rsidRPr="00C24813">
        <w:rPr>
          <w:sz w:val="28"/>
          <w:szCs w:val="28"/>
          <w:lang w:val="kk-KZ"/>
        </w:rPr>
        <w:t>, өз кірістері есебінен даму жоспарына сәйкес қаржыландырылады.</w:t>
      </w:r>
    </w:p>
    <w:p w:rsidR="00C1121F" w:rsidRDefault="00C24813" w:rsidP="00C1121F">
      <w:pPr>
        <w:ind w:firstLine="709"/>
        <w:jc w:val="both"/>
        <w:rPr>
          <w:sz w:val="28"/>
          <w:szCs w:val="28"/>
          <w:lang w:val="kk-KZ"/>
        </w:rPr>
      </w:pPr>
      <w:r w:rsidRPr="00C24813">
        <w:rPr>
          <w:sz w:val="28"/>
          <w:szCs w:val="28"/>
          <w:lang w:val="kk-KZ"/>
        </w:rPr>
        <w:t>«ҰЗМИ» РМК</w:t>
      </w:r>
      <w:r w:rsidR="00C1121F">
        <w:rPr>
          <w:sz w:val="28"/>
          <w:szCs w:val="28"/>
          <w:lang w:val="kk-KZ"/>
        </w:rPr>
        <w:t xml:space="preserve"> қызметінің мақсаты</w:t>
      </w:r>
      <w:r w:rsidR="002F014C">
        <w:rPr>
          <w:sz w:val="28"/>
          <w:szCs w:val="28"/>
          <w:lang w:val="kk-KZ"/>
        </w:rPr>
        <w:t>,</w:t>
      </w:r>
      <w:r w:rsidR="00C1121F">
        <w:rPr>
          <w:sz w:val="28"/>
          <w:szCs w:val="28"/>
          <w:lang w:val="kk-KZ"/>
        </w:rPr>
        <w:t xml:space="preserve"> тауар </w:t>
      </w:r>
      <w:r w:rsidR="00BE704B">
        <w:rPr>
          <w:sz w:val="28"/>
          <w:szCs w:val="28"/>
          <w:lang w:val="kk-KZ"/>
        </w:rPr>
        <w:t>белгі</w:t>
      </w:r>
      <w:r w:rsidR="002F014C">
        <w:rPr>
          <w:sz w:val="28"/>
          <w:szCs w:val="28"/>
          <w:lang w:val="kk-KZ"/>
        </w:rPr>
        <w:t>леріне</w:t>
      </w:r>
      <w:r w:rsidR="00C1121F">
        <w:rPr>
          <w:sz w:val="28"/>
          <w:szCs w:val="28"/>
          <w:lang w:val="kk-KZ"/>
        </w:rPr>
        <w:t>,</w:t>
      </w:r>
      <w:r w:rsidR="002F014C">
        <w:rPr>
          <w:sz w:val="28"/>
          <w:szCs w:val="28"/>
          <w:lang w:val="kk-KZ"/>
        </w:rPr>
        <w:t xml:space="preserve"> географиялық көрсеткіштер,</w:t>
      </w:r>
      <w:r w:rsidR="00C1121F">
        <w:rPr>
          <w:sz w:val="28"/>
          <w:szCs w:val="28"/>
          <w:lang w:val="kk-KZ"/>
        </w:rPr>
        <w:t xml:space="preserve"> өнертабыстарға, селекциялық жетістіктерге, авторлық құқық</w:t>
      </w:r>
      <w:r w:rsidR="002F014C">
        <w:rPr>
          <w:sz w:val="28"/>
          <w:szCs w:val="28"/>
          <w:lang w:val="kk-KZ"/>
        </w:rPr>
        <w:t>тарға</w:t>
      </w:r>
      <w:r w:rsidR="00C1121F">
        <w:rPr>
          <w:sz w:val="28"/>
          <w:szCs w:val="28"/>
          <w:lang w:val="kk-KZ"/>
        </w:rPr>
        <w:t xml:space="preserve">, </w:t>
      </w:r>
      <w:r w:rsidR="00706CDE">
        <w:rPr>
          <w:sz w:val="28"/>
          <w:szCs w:val="28"/>
          <w:lang w:val="kk-KZ"/>
        </w:rPr>
        <w:t>айрықша</w:t>
      </w:r>
      <w:r w:rsidR="00C1121F">
        <w:rPr>
          <w:sz w:val="28"/>
          <w:szCs w:val="28"/>
          <w:lang w:val="kk-KZ"/>
        </w:rPr>
        <w:t xml:space="preserve"> құқықтарға иелік ету </w:t>
      </w:r>
      <w:r w:rsidR="002F014C">
        <w:rPr>
          <w:sz w:val="28"/>
          <w:szCs w:val="28"/>
          <w:lang w:val="kk-KZ"/>
        </w:rPr>
        <w:t>туралы</w:t>
      </w:r>
      <w:r w:rsidR="00C1121F">
        <w:rPr>
          <w:sz w:val="28"/>
          <w:szCs w:val="28"/>
          <w:lang w:val="kk-KZ"/>
        </w:rPr>
        <w:t xml:space="preserve"> шарттарға, қорғау құжаттарын күшінде ұстау және зияткерлік меншік саласындағы мемлекеттік </w:t>
      </w:r>
      <w:r w:rsidR="002F014C">
        <w:rPr>
          <w:sz w:val="28"/>
          <w:szCs w:val="28"/>
          <w:lang w:val="kk-KZ"/>
        </w:rPr>
        <w:t xml:space="preserve">көрсетілетін </w:t>
      </w:r>
      <w:r w:rsidR="00C1121F">
        <w:rPr>
          <w:sz w:val="28"/>
          <w:szCs w:val="28"/>
          <w:lang w:val="kk-KZ"/>
        </w:rPr>
        <w:t xml:space="preserve">қызметтер сияқты зияткерлік меншік объектілерін құқықтық қорғау саласында жеке және заңды тұлғаларға </w:t>
      </w:r>
      <w:r>
        <w:rPr>
          <w:sz w:val="28"/>
          <w:szCs w:val="28"/>
          <w:lang w:val="kk-KZ"/>
        </w:rPr>
        <w:t xml:space="preserve">негізгі түрлері </w:t>
      </w:r>
      <w:r w:rsidR="00C1121F">
        <w:rPr>
          <w:sz w:val="28"/>
          <w:szCs w:val="28"/>
          <w:lang w:val="kk-KZ"/>
        </w:rPr>
        <w:t>бойынша сараптама қызметтерін көрсету, оның ішінде:</w:t>
      </w:r>
    </w:p>
    <w:p w:rsidR="00C1121F" w:rsidRPr="00C1121F" w:rsidRDefault="00C1121F">
      <w:pPr>
        <w:rPr>
          <w:sz w:val="28"/>
          <w:szCs w:val="28"/>
          <w:lang w:val="kk-KZ"/>
        </w:rPr>
      </w:pPr>
    </w:p>
    <w:p w:rsidR="00C1121F" w:rsidRDefault="00C1121F" w:rsidP="00C1121F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 w:rsidRPr="00B03F88">
        <w:rPr>
          <w:rFonts w:ascii="Times New Roman" w:hAnsi="Times New Roman"/>
          <w:sz w:val="28"/>
          <w:szCs w:val="28"/>
          <w:lang w:val="kk-KZ"/>
        </w:rPr>
        <w:t>Авторлық</w:t>
      </w:r>
      <w:r>
        <w:rPr>
          <w:rFonts w:ascii="Times New Roman" w:hAnsi="Times New Roman"/>
          <w:sz w:val="28"/>
          <w:szCs w:val="28"/>
          <w:lang w:val="kk-KZ"/>
        </w:rPr>
        <w:t xml:space="preserve"> құқықпен қорғалатын объектілерге құқықтарының мемлекеттік тізіліміне мәліметтер</w:t>
      </w:r>
      <w:r w:rsidR="002F014C">
        <w:rPr>
          <w:rFonts w:ascii="Times New Roman" w:hAnsi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/>
          <w:sz w:val="28"/>
          <w:szCs w:val="28"/>
          <w:lang w:val="kk-KZ"/>
        </w:rPr>
        <w:t>өзгерістер енгізу;</w:t>
      </w:r>
    </w:p>
    <w:p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белгісін, селекциялық жетістіктерді және өнеркәсіптік меншікті, сондай-ақ, интегралдық микросхеманың топологиясын пайдалану құқығын беруді тіркеу;</w:t>
      </w:r>
    </w:p>
    <w:p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белгісіне, селекциялық жетістіктерге және өнеркәсіптік меншікке, сондай-ақ, интегралдық микросхема топологиясына айрықша құқықтардың берілуін тіркеу;</w:t>
      </w:r>
    </w:p>
    <w:p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белгісін тіркеу;</w:t>
      </w:r>
    </w:p>
    <w:p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Тауар шығарылған жердің атауын пайдалану құқығын тіркеу;</w:t>
      </w:r>
    </w:p>
    <w:p w:rsidR="00BE704B" w:rsidRDefault="00BE704B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 w:rsidRPr="004678F2">
        <w:rPr>
          <w:rFonts w:ascii="Times New Roman" w:hAnsi="Times New Roman"/>
          <w:sz w:val="28"/>
          <w:szCs w:val="28"/>
          <w:lang w:val="kk-KZ"/>
        </w:rPr>
        <w:t xml:space="preserve">Географиялық </w:t>
      </w:r>
      <w:r w:rsidR="002F014C">
        <w:rPr>
          <w:rFonts w:ascii="Times New Roman" w:hAnsi="Times New Roman"/>
          <w:sz w:val="28"/>
          <w:szCs w:val="28"/>
          <w:lang w:val="kk-KZ"/>
        </w:rPr>
        <w:t>көрсеткішті</w:t>
      </w:r>
      <w:r w:rsidRPr="004678F2">
        <w:rPr>
          <w:rFonts w:ascii="Times New Roman" w:hAnsi="Times New Roman"/>
          <w:sz w:val="28"/>
          <w:szCs w:val="28"/>
          <w:lang w:val="kk-KZ"/>
        </w:rPr>
        <w:t xml:space="preserve"> пайдалану құқығын тіркеу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BE704B" w:rsidRDefault="00BE704B" w:rsidP="00BE704B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Өнеркәсіптік меншік саласындағы қорғау құжаттарын беру;</w:t>
      </w:r>
    </w:p>
    <w:p w:rsidR="00BE704B" w:rsidRDefault="00D12946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Интегралдық микросхемалар топологияларын тіркеу;</w:t>
      </w:r>
    </w:p>
    <w:p w:rsidR="004B000D" w:rsidRDefault="004B000D" w:rsidP="004B000D">
      <w:pPr>
        <w:pStyle w:val="a4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Селекциялық</w:t>
      </w:r>
      <w:r w:rsidR="00D12946">
        <w:rPr>
          <w:rFonts w:ascii="Times New Roman" w:hAnsi="Times New Roman"/>
          <w:sz w:val="28"/>
          <w:szCs w:val="28"/>
          <w:lang w:val="kk-KZ"/>
        </w:rPr>
        <w:t xml:space="preserve"> жетістікке қорғау құжатын беру</w:t>
      </w:r>
      <w:r w:rsidR="002F014C">
        <w:rPr>
          <w:rFonts w:ascii="Times New Roman" w:hAnsi="Times New Roman"/>
          <w:sz w:val="28"/>
          <w:szCs w:val="28"/>
          <w:lang w:val="kk-KZ"/>
        </w:rPr>
        <w:t>.</w:t>
      </w:r>
    </w:p>
    <w:p w:rsidR="00CA5E7F" w:rsidRPr="00CA5E7F" w:rsidRDefault="004B000D" w:rsidP="00CA5E7F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17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5E7F" w:rsidRPr="00CA5E7F">
        <w:rPr>
          <w:rFonts w:ascii="Times New Roman" w:hAnsi="Times New Roman"/>
          <w:sz w:val="28"/>
          <w:szCs w:val="28"/>
          <w:lang w:val="kk-KZ"/>
        </w:rPr>
        <w:t>«ҰЗМИ» РМК заңнамада белгіленген нормативтер мен мерзімдерге сәйкес таза кірістің бір бөлігін республикалық бюджетке аударады.</w:t>
      </w:r>
    </w:p>
    <w:p w:rsidR="00CA5E7F" w:rsidRPr="00CA5E7F" w:rsidRDefault="00CA5E7F" w:rsidP="00CA5E7F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A5E7F">
        <w:rPr>
          <w:rFonts w:ascii="Times New Roman" w:hAnsi="Times New Roman"/>
          <w:sz w:val="28"/>
          <w:szCs w:val="28"/>
          <w:lang w:val="kk-KZ"/>
        </w:rPr>
        <w:t>«ҰЗМИ» РМК бухгалтерлік есеп пен қаржылық есептілік</w:t>
      </w:r>
      <w:r>
        <w:rPr>
          <w:rFonts w:ascii="Times New Roman" w:hAnsi="Times New Roman"/>
          <w:sz w:val="28"/>
          <w:szCs w:val="28"/>
          <w:lang w:val="kk-KZ"/>
        </w:rPr>
        <w:t xml:space="preserve">ті құрастыруы, </w:t>
      </w:r>
      <w:r w:rsidRPr="00CA5E7F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Республикасының бухгалтерлік есеп және қаржылық есептілік туралы заңнамасына және халықаралық қаржылық есептілік стандарттарына сәйкес тиісті саланың уәкілетті органымен келісім бойынша «ҰЗМИ» РМК директоры бекітетін есеп саясатына сәйкес жүзеге асырылады.</w:t>
      </w:r>
    </w:p>
    <w:p w:rsidR="00C1121F" w:rsidRPr="007D0902" w:rsidRDefault="00C1121F" w:rsidP="00BE299F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20</w:t>
      </w:r>
      <w:r w:rsidR="004B000D">
        <w:rPr>
          <w:rFonts w:ascii="Times New Roman" w:hAnsi="Times New Roman"/>
          <w:sz w:val="28"/>
          <w:szCs w:val="28"/>
          <w:lang w:val="kk-KZ"/>
        </w:rPr>
        <w:t>2</w:t>
      </w:r>
      <w:r w:rsidR="0073560D"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 жылдың нәтижелері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бойынша </w:t>
      </w:r>
      <w:r w:rsidRPr="007D0902">
        <w:rPr>
          <w:rFonts w:ascii="Times New Roman" w:hAnsi="Times New Roman"/>
          <w:sz w:val="28"/>
          <w:szCs w:val="28"/>
          <w:lang w:val="kk-KZ"/>
        </w:rPr>
        <w:t>«ҰЗМИ» РМК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5E7F">
        <w:rPr>
          <w:rFonts w:ascii="Times New Roman" w:hAnsi="Times New Roman"/>
          <w:sz w:val="28"/>
          <w:szCs w:val="28"/>
          <w:lang w:val="kk-KZ"/>
        </w:rPr>
        <w:t>табыс</w:t>
      </w:r>
      <w:r>
        <w:rPr>
          <w:rFonts w:ascii="Times New Roman" w:hAnsi="Times New Roman"/>
          <w:sz w:val="28"/>
          <w:szCs w:val="28"/>
          <w:lang w:val="kk-KZ"/>
        </w:rPr>
        <w:t xml:space="preserve"> бөлігі </w:t>
      </w:r>
      <w:r w:rsidR="00D35B8E">
        <w:rPr>
          <w:rFonts w:ascii="Times New Roman" w:hAnsi="Times New Roman"/>
          <w:sz w:val="28"/>
          <w:szCs w:val="28"/>
          <w:lang w:val="kk-KZ"/>
        </w:rPr>
        <w:t xml:space="preserve">кәсіпорын Жарғысымен қарастырылған қызметтерді, оның ішінде, 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Тауар </w:t>
      </w:r>
      <w:r w:rsidR="00BE299F">
        <w:rPr>
          <w:rFonts w:ascii="Times New Roman" w:hAnsi="Times New Roman"/>
          <w:sz w:val="28"/>
          <w:szCs w:val="28"/>
          <w:lang w:val="kk-KZ"/>
        </w:rPr>
        <w:t>белгілерін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, өнертабыстар, селекциялық жетістіктер, авторлық құқық, айрықша құқықтарға билік ету туралы </w:t>
      </w:r>
      <w:r w:rsidR="00BE299F">
        <w:rPr>
          <w:rFonts w:ascii="Times New Roman" w:hAnsi="Times New Roman"/>
          <w:sz w:val="28"/>
          <w:szCs w:val="28"/>
          <w:lang w:val="kk-KZ"/>
        </w:rPr>
        <w:t>шарттар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 xml:space="preserve"> сияқты зияткерлік меншік объектілеріне құқықтарды қорғау саласындағы жеке және заңды тұлғаларға қызметтің негізгі түрлері бойынша сараптамалық қызмет көрсету,</w:t>
      </w:r>
      <w:r w:rsidR="00D35B8E" w:rsidRPr="00D35B8E">
        <w:rPr>
          <w:rFonts w:ascii="inherit" w:hAnsi="inherit" w:cs="Courier New"/>
          <w:color w:val="1F1F1F"/>
          <w:sz w:val="42"/>
          <w:szCs w:val="42"/>
          <w:lang w:val="kk-KZ"/>
        </w:rPr>
        <w:t xml:space="preserve"> </w:t>
      </w:r>
      <w:r w:rsidR="00D35B8E" w:rsidRPr="00D35B8E">
        <w:rPr>
          <w:rFonts w:ascii="Times New Roman" w:hAnsi="Times New Roman"/>
          <w:sz w:val="28"/>
          <w:szCs w:val="28"/>
          <w:lang w:val="kk-KZ"/>
        </w:rPr>
        <w:t>қорғау құжаттарын күшінде ұстау және жоғарыда аталған мемлекеттік қызметтер мен басқа да қызметтер</w:t>
      </w:r>
      <w:r w:rsidR="00BE299F">
        <w:rPr>
          <w:rFonts w:ascii="Times New Roman" w:hAnsi="Times New Roman"/>
          <w:sz w:val="28"/>
          <w:szCs w:val="28"/>
          <w:lang w:val="kk-KZ"/>
        </w:rPr>
        <w:t xml:space="preserve">ден -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560D" w:rsidRPr="0073560D">
        <w:rPr>
          <w:rFonts w:ascii="Times New Roman" w:hAnsi="Times New Roman"/>
          <w:b/>
          <w:sz w:val="28"/>
          <w:szCs w:val="28"/>
          <w:lang w:val="kk-KZ"/>
        </w:rPr>
        <w:t>3559,1</w:t>
      </w:r>
      <w:r w:rsidR="009F747C" w:rsidRPr="0073560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3560D">
        <w:rPr>
          <w:rFonts w:ascii="Times New Roman" w:hAnsi="Times New Roman"/>
          <w:b/>
          <w:sz w:val="28"/>
          <w:szCs w:val="28"/>
          <w:lang w:val="kk-KZ"/>
        </w:rPr>
        <w:t>млн.т</w:t>
      </w:r>
      <w:r w:rsidR="00BE299F">
        <w:rPr>
          <w:rFonts w:ascii="Times New Roman" w:hAnsi="Times New Roman"/>
          <w:b/>
          <w:sz w:val="28"/>
          <w:szCs w:val="28"/>
          <w:lang w:val="kk-KZ"/>
        </w:rPr>
        <w:t>енге</w:t>
      </w:r>
      <w:r w:rsidRPr="0073560D">
        <w:rPr>
          <w:rFonts w:ascii="Times New Roman" w:hAnsi="Times New Roman"/>
          <w:b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 деңгейінде құралды.</w:t>
      </w:r>
    </w:p>
    <w:p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:rsidR="00477FA4" w:rsidRDefault="009F747C" w:rsidP="005A137C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5D733F9A" wp14:editId="295BD415">
            <wp:extent cx="5886450" cy="3505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7FA4" w:rsidRDefault="00477FA4" w:rsidP="00477FA4">
      <w:pPr>
        <w:ind w:firstLine="708"/>
        <w:jc w:val="both"/>
        <w:rPr>
          <w:b/>
          <w:sz w:val="28"/>
          <w:szCs w:val="28"/>
        </w:rPr>
      </w:pPr>
    </w:p>
    <w:p w:rsidR="00477FA4" w:rsidRDefault="00477FA4" w:rsidP="00477FA4">
      <w:pPr>
        <w:ind w:firstLine="708"/>
        <w:jc w:val="both"/>
        <w:rPr>
          <w:b/>
          <w:sz w:val="28"/>
          <w:szCs w:val="28"/>
        </w:rPr>
      </w:pPr>
    </w:p>
    <w:p w:rsidR="00BE299F" w:rsidRPr="00BE299F" w:rsidRDefault="00BE299F" w:rsidP="00BE299F">
      <w:pPr>
        <w:ind w:firstLine="708"/>
        <w:jc w:val="both"/>
        <w:rPr>
          <w:sz w:val="28"/>
          <w:szCs w:val="28"/>
          <w:lang w:val="kk-KZ"/>
        </w:rPr>
      </w:pPr>
      <w:r w:rsidRPr="00BE299F">
        <w:rPr>
          <w:sz w:val="28"/>
          <w:szCs w:val="28"/>
          <w:lang w:val="kk-KZ"/>
        </w:rPr>
        <w:t xml:space="preserve">2024 жылға арналған шығыс бөлігі «ҰЗМИ» РМК жарғылық қызметін жүзеге асыруға және алға қойылған стратегиялық мақсаттар мен міндеттерге қол жеткізуге бағытталған </w:t>
      </w:r>
      <w:r w:rsidRPr="00BE299F">
        <w:rPr>
          <w:b/>
          <w:sz w:val="28"/>
          <w:szCs w:val="28"/>
          <w:lang w:val="kk-KZ"/>
        </w:rPr>
        <w:t>2938,6 млн.теңгені</w:t>
      </w:r>
      <w:r w:rsidRPr="00BE299F">
        <w:rPr>
          <w:sz w:val="28"/>
          <w:szCs w:val="28"/>
          <w:lang w:val="kk-KZ"/>
        </w:rPr>
        <w:t xml:space="preserve"> құрады.</w:t>
      </w:r>
    </w:p>
    <w:p w:rsidR="00BE299F" w:rsidRPr="00BE299F" w:rsidRDefault="00BE299F" w:rsidP="00BE299F">
      <w:pPr>
        <w:ind w:firstLine="708"/>
        <w:jc w:val="both"/>
        <w:rPr>
          <w:sz w:val="28"/>
          <w:szCs w:val="28"/>
          <w:lang w:val="kk-KZ"/>
        </w:rPr>
      </w:pPr>
      <w:r w:rsidRPr="00BE299F">
        <w:rPr>
          <w:sz w:val="28"/>
          <w:szCs w:val="28"/>
          <w:lang w:val="kk-KZ"/>
        </w:rPr>
        <w:t xml:space="preserve">Қаржы жылының қорытындысы бойынша мемлекеттік бюджетке аударылған таза пайданың үлесі </w:t>
      </w:r>
      <w:r w:rsidRPr="00BE299F">
        <w:rPr>
          <w:b/>
          <w:sz w:val="28"/>
          <w:szCs w:val="28"/>
          <w:lang w:val="kk-KZ"/>
        </w:rPr>
        <w:t>303,48 млн</w:t>
      </w:r>
      <w:r>
        <w:rPr>
          <w:b/>
          <w:sz w:val="28"/>
          <w:szCs w:val="28"/>
          <w:lang w:val="kk-KZ"/>
        </w:rPr>
        <w:t>.</w:t>
      </w:r>
      <w:r w:rsidRPr="00BE299F">
        <w:rPr>
          <w:b/>
          <w:sz w:val="28"/>
          <w:szCs w:val="28"/>
          <w:lang w:val="kk-KZ"/>
        </w:rPr>
        <w:t>теңгені</w:t>
      </w:r>
      <w:r w:rsidRPr="00BE299F">
        <w:rPr>
          <w:sz w:val="28"/>
          <w:szCs w:val="28"/>
          <w:lang w:val="kk-KZ"/>
        </w:rPr>
        <w:t xml:space="preserve"> немесе 50 пайызды құрады.</w:t>
      </w:r>
    </w:p>
    <w:p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:rsidR="00C1121F" w:rsidRPr="00C1121F" w:rsidRDefault="00C1121F" w:rsidP="005A137C">
      <w:pPr>
        <w:ind w:firstLine="708"/>
        <w:jc w:val="both"/>
        <w:rPr>
          <w:sz w:val="28"/>
          <w:szCs w:val="28"/>
          <w:lang w:val="kk-KZ"/>
        </w:rPr>
      </w:pPr>
    </w:p>
    <w:p w:rsidR="006840A0" w:rsidRPr="00767B05" w:rsidRDefault="006840A0" w:rsidP="00C761DD">
      <w:pPr>
        <w:ind w:firstLine="708"/>
        <w:jc w:val="both"/>
        <w:rPr>
          <w:sz w:val="28"/>
          <w:szCs w:val="28"/>
          <w:lang w:val="kk-KZ"/>
        </w:rPr>
      </w:pPr>
    </w:p>
    <w:sectPr w:rsidR="006840A0" w:rsidRPr="0076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12E"/>
    <w:multiLevelType w:val="hybridMultilevel"/>
    <w:tmpl w:val="F4D06E78"/>
    <w:lvl w:ilvl="0" w:tplc="91B44FA8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A3A77"/>
    <w:multiLevelType w:val="hybridMultilevel"/>
    <w:tmpl w:val="5964A5E2"/>
    <w:lvl w:ilvl="0" w:tplc="96223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3111F6"/>
    <w:multiLevelType w:val="hybridMultilevel"/>
    <w:tmpl w:val="0AAA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D"/>
    <w:rsid w:val="000348E5"/>
    <w:rsid w:val="00035161"/>
    <w:rsid w:val="00055F6B"/>
    <w:rsid w:val="000610CF"/>
    <w:rsid w:val="000B2FA4"/>
    <w:rsid w:val="000B55D5"/>
    <w:rsid w:val="000F5EB2"/>
    <w:rsid w:val="00107537"/>
    <w:rsid w:val="001138F0"/>
    <w:rsid w:val="00137B4B"/>
    <w:rsid w:val="00137B8D"/>
    <w:rsid w:val="001476E9"/>
    <w:rsid w:val="0016415D"/>
    <w:rsid w:val="001642AF"/>
    <w:rsid w:val="00173A9D"/>
    <w:rsid w:val="001806EB"/>
    <w:rsid w:val="001A4297"/>
    <w:rsid w:val="001C51AE"/>
    <w:rsid w:val="001C659F"/>
    <w:rsid w:val="001C6981"/>
    <w:rsid w:val="001D169D"/>
    <w:rsid w:val="001D632E"/>
    <w:rsid w:val="0020317E"/>
    <w:rsid w:val="002111FE"/>
    <w:rsid w:val="002119DF"/>
    <w:rsid w:val="0024610A"/>
    <w:rsid w:val="00276767"/>
    <w:rsid w:val="00276D8B"/>
    <w:rsid w:val="002A188C"/>
    <w:rsid w:val="002B155A"/>
    <w:rsid w:val="002D3A8B"/>
    <w:rsid w:val="002F014C"/>
    <w:rsid w:val="00300300"/>
    <w:rsid w:val="00306080"/>
    <w:rsid w:val="00330ED1"/>
    <w:rsid w:val="003809F1"/>
    <w:rsid w:val="003B0B23"/>
    <w:rsid w:val="003C230C"/>
    <w:rsid w:val="003D4E6B"/>
    <w:rsid w:val="003F090F"/>
    <w:rsid w:val="004142C9"/>
    <w:rsid w:val="00416A3C"/>
    <w:rsid w:val="00420699"/>
    <w:rsid w:val="0045435A"/>
    <w:rsid w:val="00455FE1"/>
    <w:rsid w:val="004678F2"/>
    <w:rsid w:val="00477FA4"/>
    <w:rsid w:val="00486390"/>
    <w:rsid w:val="00496906"/>
    <w:rsid w:val="004B000D"/>
    <w:rsid w:val="004F241B"/>
    <w:rsid w:val="00502E98"/>
    <w:rsid w:val="00503C90"/>
    <w:rsid w:val="00527110"/>
    <w:rsid w:val="00567EEF"/>
    <w:rsid w:val="00571E69"/>
    <w:rsid w:val="005750A6"/>
    <w:rsid w:val="005775B4"/>
    <w:rsid w:val="005A137C"/>
    <w:rsid w:val="005C405C"/>
    <w:rsid w:val="005E3A28"/>
    <w:rsid w:val="00640DF4"/>
    <w:rsid w:val="00645235"/>
    <w:rsid w:val="00660C7A"/>
    <w:rsid w:val="00661FCC"/>
    <w:rsid w:val="006840A0"/>
    <w:rsid w:val="006B7716"/>
    <w:rsid w:val="006C09E2"/>
    <w:rsid w:val="006C7B90"/>
    <w:rsid w:val="006D16A3"/>
    <w:rsid w:val="006E4C30"/>
    <w:rsid w:val="006E7E3D"/>
    <w:rsid w:val="007016E7"/>
    <w:rsid w:val="00706CDE"/>
    <w:rsid w:val="00711765"/>
    <w:rsid w:val="0073560D"/>
    <w:rsid w:val="00756068"/>
    <w:rsid w:val="00767B05"/>
    <w:rsid w:val="00780092"/>
    <w:rsid w:val="007840F7"/>
    <w:rsid w:val="00786600"/>
    <w:rsid w:val="007A1FBC"/>
    <w:rsid w:val="007B5D8F"/>
    <w:rsid w:val="007C2C19"/>
    <w:rsid w:val="007F265D"/>
    <w:rsid w:val="00813EBD"/>
    <w:rsid w:val="0086036E"/>
    <w:rsid w:val="00871972"/>
    <w:rsid w:val="00876A9E"/>
    <w:rsid w:val="00894E12"/>
    <w:rsid w:val="008969ED"/>
    <w:rsid w:val="008E1BAC"/>
    <w:rsid w:val="008F64C1"/>
    <w:rsid w:val="00910FDE"/>
    <w:rsid w:val="0092353E"/>
    <w:rsid w:val="00933D1B"/>
    <w:rsid w:val="00963808"/>
    <w:rsid w:val="00967622"/>
    <w:rsid w:val="00971175"/>
    <w:rsid w:val="009D26B8"/>
    <w:rsid w:val="009F747C"/>
    <w:rsid w:val="00A54EA2"/>
    <w:rsid w:val="00A6515F"/>
    <w:rsid w:val="00A66362"/>
    <w:rsid w:val="00AA4761"/>
    <w:rsid w:val="00AD5D11"/>
    <w:rsid w:val="00AE1490"/>
    <w:rsid w:val="00AE68F8"/>
    <w:rsid w:val="00AF088A"/>
    <w:rsid w:val="00AF1611"/>
    <w:rsid w:val="00B342F6"/>
    <w:rsid w:val="00B50306"/>
    <w:rsid w:val="00BB355B"/>
    <w:rsid w:val="00BB751E"/>
    <w:rsid w:val="00BE299F"/>
    <w:rsid w:val="00BE704B"/>
    <w:rsid w:val="00BE76BF"/>
    <w:rsid w:val="00BE7948"/>
    <w:rsid w:val="00BF1C84"/>
    <w:rsid w:val="00BF4609"/>
    <w:rsid w:val="00BF7A4E"/>
    <w:rsid w:val="00C1121F"/>
    <w:rsid w:val="00C24813"/>
    <w:rsid w:val="00C26833"/>
    <w:rsid w:val="00C2774A"/>
    <w:rsid w:val="00C42894"/>
    <w:rsid w:val="00C7296A"/>
    <w:rsid w:val="00C74957"/>
    <w:rsid w:val="00C761DD"/>
    <w:rsid w:val="00C839ED"/>
    <w:rsid w:val="00CA4372"/>
    <w:rsid w:val="00CA5E7F"/>
    <w:rsid w:val="00CA643D"/>
    <w:rsid w:val="00CB266F"/>
    <w:rsid w:val="00CE1E44"/>
    <w:rsid w:val="00CF0841"/>
    <w:rsid w:val="00CF49C9"/>
    <w:rsid w:val="00D12946"/>
    <w:rsid w:val="00D171E4"/>
    <w:rsid w:val="00D26E68"/>
    <w:rsid w:val="00D35B8E"/>
    <w:rsid w:val="00D41651"/>
    <w:rsid w:val="00D43EDD"/>
    <w:rsid w:val="00D65183"/>
    <w:rsid w:val="00D96904"/>
    <w:rsid w:val="00DF091E"/>
    <w:rsid w:val="00E04BDA"/>
    <w:rsid w:val="00E100C1"/>
    <w:rsid w:val="00E23029"/>
    <w:rsid w:val="00E30A92"/>
    <w:rsid w:val="00E7291A"/>
    <w:rsid w:val="00E87186"/>
    <w:rsid w:val="00EB6758"/>
    <w:rsid w:val="00EC1603"/>
    <w:rsid w:val="00EF02FD"/>
    <w:rsid w:val="00F04D54"/>
    <w:rsid w:val="00F14BF3"/>
    <w:rsid w:val="00F826CA"/>
    <w:rsid w:val="00F83F1B"/>
    <w:rsid w:val="00F9157E"/>
    <w:rsid w:val="00FC143A"/>
    <w:rsid w:val="00FE4946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30AF"/>
  <w15:chartTrackingRefBased/>
  <w15:docId w15:val="{44B7EE88-3767-4A42-816C-D3216E1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E1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4E12"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4E1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94E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94E1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94E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94E12"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22"/>
    <w:qFormat/>
    <w:rsid w:val="00894E12"/>
    <w:rPr>
      <w:b/>
      <w:bCs/>
    </w:rPr>
  </w:style>
  <w:style w:type="paragraph" w:styleId="a4">
    <w:name w:val="List Paragraph"/>
    <w:basedOn w:val="a"/>
    <w:uiPriority w:val="34"/>
    <w:qFormat/>
    <w:rsid w:val="00894E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63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6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2481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81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ru-RU" sz="1200" b="1" i="0" u="none" strike="noStrike" normalizeH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2024 жылғы зияткерлік меншік объектілері бойынша кірістердің үлесі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8.2610571736785335E-2"/>
          <c:y val="1.81159420289855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 от оказания гос.услуг и других юридически значимых действий по итогам 2023 года</c:v>
                </c:pt>
              </c:strCache>
            </c:strRef>
          </c:tx>
          <c:spPr>
            <a:effectLst>
              <a:outerShdw blurRad="139700" dist="50800" dir="4560000" algn="ctr" rotWithShape="0">
                <a:srgbClr val="000000">
                  <a:alpha val="43137"/>
                </a:srgbClr>
              </a:outerShdw>
            </a:effectLst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931-4BD3-8061-01F86C7BCDDE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931-4BD3-8061-01F86C7BCDDE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931-4BD3-8061-01F86C7BCDDE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931-4BD3-8061-01F86C7BCDDE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931-4BD3-8061-01F86C7BCDDE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931-4BD3-8061-01F86C7BCDDE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931-4BD3-8061-01F86C7BCDDE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931-4BD3-8061-01F86C7BCDDE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914-4496-91BA-31962AD59E1A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914-4496-91BA-31962AD59E1A}"/>
              </c:ext>
            </c:extLst>
          </c:dPt>
          <c:dLbls>
            <c:dLbl>
              <c:idx val="0"/>
              <c:layout>
                <c:manualLayout>
                  <c:x val="1.9538771245827202E-2"/>
                  <c:y val="-0.162438377268059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31-4BD3-8061-01F86C7BCDDE}"/>
                </c:ext>
              </c:extLst>
            </c:dLbl>
            <c:dLbl>
              <c:idx val="1"/>
              <c:layout>
                <c:manualLayout>
                  <c:x val="-5.8001172183574118E-2"/>
                  <c:y val="6.25162615542622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31-4BD3-8061-01F86C7BCDDE}"/>
                </c:ext>
              </c:extLst>
            </c:dLbl>
            <c:dLbl>
              <c:idx val="2"/>
              <c:layout>
                <c:manualLayout>
                  <c:x val="-2.6706758742535825E-2"/>
                  <c:y val="-0.1134698448020085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4863287720104"/>
                      <c:h val="0.203623188405797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931-4BD3-8061-01F86C7BCDDE}"/>
                </c:ext>
              </c:extLst>
            </c:dLbl>
            <c:dLbl>
              <c:idx val="3"/>
              <c:layout>
                <c:manualLayout>
                  <c:x val="1.6312038665069776E-3"/>
                  <c:y val="-0.3106989615428506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74334276176644"/>
                      <c:h val="0.213768115942028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931-4BD3-8061-01F86C7BCDDE}"/>
                </c:ext>
              </c:extLst>
            </c:dLbl>
            <c:dLbl>
              <c:idx val="4"/>
              <c:layout>
                <c:manualLayout>
                  <c:x val="6.1386744132711562E-4"/>
                  <c:y val="-0.536750256761383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6612729234088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931-4BD3-8061-01F86C7BCDDE}"/>
                </c:ext>
              </c:extLst>
            </c:dLbl>
            <c:dLbl>
              <c:idx val="5"/>
              <c:layout>
                <c:manualLayout>
                  <c:x val="0.13097172319479478"/>
                  <c:y val="0.295372446650690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074442151041797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931-4BD3-8061-01F86C7BCDDE}"/>
                </c:ext>
              </c:extLst>
            </c:dLbl>
            <c:dLbl>
              <c:idx val="6"/>
              <c:layout>
                <c:manualLayout>
                  <c:x val="-1.6362663404938461E-2"/>
                  <c:y val="-0.4131715736619879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31-4BD3-8061-01F86C7BCDDE}"/>
                </c:ext>
              </c:extLst>
            </c:dLbl>
            <c:dLbl>
              <c:idx val="7"/>
              <c:layout>
                <c:manualLayout>
                  <c:x val="5.3232593498628203E-2"/>
                  <c:y val="-0.216879208033778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31-4BD3-8061-01F86C7BCDDE}"/>
                </c:ext>
              </c:extLst>
            </c:dLbl>
            <c:dLbl>
              <c:idx val="8"/>
              <c:layout>
                <c:manualLayout>
                  <c:x val="7.7881745364353716E-2"/>
                  <c:y val="6.09811137738217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10239618105988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914-4496-91BA-31962AD59E1A}"/>
                </c:ext>
              </c:extLst>
            </c:dLbl>
            <c:dLbl>
              <c:idx val="9"/>
              <c:layout>
                <c:manualLayout>
                  <c:x val="2.9804211366783032E-2"/>
                  <c:y val="0.134597740499828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29333469238676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0914-4496-91BA-31962AD59E1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сауда белгілері</c:v>
                </c:pt>
                <c:pt idx="1">
                  <c:v>өнеркәсіптік үлгілер</c:v>
                </c:pt>
                <c:pt idx="2">
                  <c:v>Өнертабыстар, пайдалы модельдер</c:v>
                </c:pt>
                <c:pt idx="3">
                  <c:v>оқыту семинарлары (ОО және ДЗМҰ жазғы мектебі)</c:v>
                </c:pt>
                <c:pt idx="4">
                  <c:v>селекциялық жетістіктер</c:v>
                </c:pt>
                <c:pt idx="5">
                  <c:v>мемлекеттік тізілімдер және мәліметтерді жариялау</c:v>
                </c:pt>
                <c:pt idx="6">
                  <c:v>авторлық құқық</c:v>
                </c:pt>
                <c:pt idx="7">
                  <c:v>Географиялық нұсқамалар</c:v>
                </c:pt>
                <c:pt idx="8">
                  <c:v>шарттарды тіркеу</c:v>
                </c:pt>
                <c:pt idx="9">
                  <c:v>тақырыптық іздеулер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1149.21</c:v>
                </c:pt>
                <c:pt idx="1">
                  <c:v>20.04</c:v>
                </c:pt>
                <c:pt idx="2">
                  <c:v>60.52</c:v>
                </c:pt>
                <c:pt idx="3">
                  <c:v>2.2000000000000002</c:v>
                </c:pt>
                <c:pt idx="4">
                  <c:v>15.87</c:v>
                </c:pt>
                <c:pt idx="5">
                  <c:v>2002.3</c:v>
                </c:pt>
                <c:pt idx="6">
                  <c:v>110.24</c:v>
                </c:pt>
                <c:pt idx="7">
                  <c:v>1.65</c:v>
                </c:pt>
                <c:pt idx="8">
                  <c:v>124.07</c:v>
                </c:pt>
                <c:pt idx="9">
                  <c:v>72.97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931-4BD3-8061-01F86C7BCDD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Лаура Кайратовна</dc:creator>
  <cp:keywords/>
  <dc:description/>
  <cp:lastModifiedBy>Лаура $$</cp:lastModifiedBy>
  <cp:revision>7</cp:revision>
  <cp:lastPrinted>2021-06-10T06:44:00Z</cp:lastPrinted>
  <dcterms:created xsi:type="dcterms:W3CDTF">2025-06-10T03:50:00Z</dcterms:created>
  <dcterms:modified xsi:type="dcterms:W3CDTF">2025-06-10T06:35:00Z</dcterms:modified>
</cp:coreProperties>
</file>