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23" w:rsidRDefault="004E7423" w:rsidP="00C761DD">
      <w:pPr>
        <w:jc w:val="center"/>
        <w:rPr>
          <w:b/>
          <w:sz w:val="28"/>
          <w:szCs w:val="28"/>
        </w:rPr>
      </w:pPr>
    </w:p>
    <w:p w:rsidR="004E7423" w:rsidRDefault="004E7423" w:rsidP="00C761DD">
      <w:pPr>
        <w:jc w:val="center"/>
        <w:rPr>
          <w:b/>
          <w:sz w:val="28"/>
          <w:szCs w:val="28"/>
        </w:rPr>
      </w:pPr>
    </w:p>
    <w:p w:rsidR="004E7423" w:rsidRDefault="004E7423" w:rsidP="00C761DD">
      <w:pPr>
        <w:jc w:val="center"/>
        <w:rPr>
          <w:b/>
          <w:sz w:val="28"/>
          <w:szCs w:val="28"/>
        </w:rPr>
      </w:pPr>
    </w:p>
    <w:p w:rsidR="00AB0301" w:rsidRPr="00AB0301" w:rsidRDefault="00AB0301" w:rsidP="00AB0301">
      <w:pPr>
        <w:jc w:val="center"/>
        <w:rPr>
          <w:b/>
          <w:sz w:val="28"/>
          <w:szCs w:val="28"/>
          <w:lang w:val="en-US"/>
        </w:rPr>
      </w:pPr>
      <w:r w:rsidRPr="00AB0301">
        <w:rPr>
          <w:b/>
          <w:sz w:val="28"/>
          <w:szCs w:val="28"/>
          <w:lang w:val="en-US"/>
        </w:rPr>
        <w:t>Information</w:t>
      </w:r>
      <w:r w:rsidR="00C761DD" w:rsidRPr="00AB0301">
        <w:rPr>
          <w:b/>
          <w:sz w:val="28"/>
          <w:szCs w:val="28"/>
          <w:lang w:val="en-US"/>
        </w:rPr>
        <w:br/>
      </w:r>
      <w:r w:rsidRPr="00AB0301">
        <w:rPr>
          <w:b/>
          <w:sz w:val="28"/>
          <w:szCs w:val="28"/>
          <w:lang w:val="en-US"/>
        </w:rPr>
        <w:t>on the results of the financial and economic activities of the RSE “NIIP”</w:t>
      </w:r>
    </w:p>
    <w:p w:rsidR="00CA643D" w:rsidRDefault="00AB0301" w:rsidP="00AB0301">
      <w:pPr>
        <w:jc w:val="center"/>
        <w:rPr>
          <w:sz w:val="28"/>
          <w:szCs w:val="28"/>
        </w:rPr>
      </w:pPr>
      <w:r w:rsidRPr="00AB0301">
        <w:rPr>
          <w:b/>
          <w:sz w:val="28"/>
          <w:szCs w:val="28"/>
        </w:rPr>
        <w:t>for 2024</w:t>
      </w:r>
      <w:r>
        <w:rPr>
          <w:b/>
          <w:sz w:val="28"/>
          <w:szCs w:val="28"/>
        </w:rPr>
        <w:br/>
      </w:r>
    </w:p>
    <w:p w:rsidR="005A137C" w:rsidRPr="00AB0301" w:rsidRDefault="00AB0301" w:rsidP="008F7122">
      <w:pPr>
        <w:ind w:firstLine="708"/>
        <w:jc w:val="both"/>
        <w:rPr>
          <w:sz w:val="28"/>
          <w:szCs w:val="28"/>
          <w:lang w:val="en-US"/>
        </w:rPr>
      </w:pPr>
      <w:r w:rsidRPr="00AB0301">
        <w:rPr>
          <w:sz w:val="28"/>
          <w:szCs w:val="28"/>
          <w:lang w:val="en-US"/>
        </w:rPr>
        <w:t xml:space="preserve">The Republican State Enterprise on the Right of Economic Management “National Institute of Intellectual Property” of the Committee on Intellectual Property Rights of the Ministry of Justice of the Republic of Kazakhstan (hereinafter – RSE “NIIP”) is a subordinate organization of the Committee on Intellectual Property Rights of the Ministry of Justice of the Republic of Kazakhstan </w:t>
      </w:r>
      <w:r w:rsidRPr="00AB0301">
        <w:rPr>
          <w:i/>
          <w:lang w:val="en-US"/>
        </w:rPr>
        <w:t>(in accordance with the Resolution of the Government of the Republic of Kazakhstan dated July 15, 2024, No. 552 “On Certain Issues of the Ministry of Justice of the Republic of Kazakhstan”).</w:t>
      </w:r>
      <w:r w:rsidR="008F7122" w:rsidRPr="00AB0301">
        <w:rPr>
          <w:sz w:val="28"/>
          <w:szCs w:val="28"/>
          <w:lang w:val="en-US"/>
        </w:rPr>
        <w:t xml:space="preserve"> </w:t>
      </w:r>
    </w:p>
    <w:p w:rsidR="005A137C" w:rsidRPr="00AB0301" w:rsidRDefault="00AB0301" w:rsidP="005A137C">
      <w:pPr>
        <w:ind w:firstLine="708"/>
        <w:jc w:val="both"/>
        <w:rPr>
          <w:sz w:val="28"/>
          <w:szCs w:val="28"/>
          <w:lang w:val="en-US"/>
        </w:rPr>
      </w:pPr>
      <w:r w:rsidRPr="00AB0301">
        <w:rPr>
          <w:sz w:val="28"/>
          <w:szCs w:val="28"/>
          <w:lang w:val="en-US"/>
        </w:rPr>
        <w:t>The activities of RSE “NIIP” are financed in accordance with its development plan at the expense of its own income, without the involvement of budgetary funds.</w:t>
      </w:r>
    </w:p>
    <w:p w:rsidR="005A137C" w:rsidRDefault="00AB0301" w:rsidP="005A137C">
      <w:pPr>
        <w:ind w:firstLine="708"/>
        <w:jc w:val="both"/>
        <w:rPr>
          <w:sz w:val="28"/>
          <w:szCs w:val="28"/>
          <w:lang w:val="kk-KZ"/>
        </w:rPr>
      </w:pPr>
      <w:r w:rsidRPr="00AB0301">
        <w:rPr>
          <w:sz w:val="28"/>
          <w:szCs w:val="28"/>
          <w:lang w:val="kk-KZ"/>
        </w:rPr>
        <w:t>The purpose of the RSE "NIIS" is to provide expert services on the main types of activities to individuals and legal entities in the field of intellectual property rights protection, such as trademarks, geographical indications, inventions, selection achievements, copyright, agreements on the disposal of exclusive rights, maintenance of security documents in force and government services in the field of intellectual property, including:</w:t>
      </w:r>
      <w:r w:rsidR="005A137C">
        <w:rPr>
          <w:sz w:val="28"/>
          <w:szCs w:val="28"/>
          <w:lang w:val="kk-KZ"/>
        </w:rPr>
        <w:t>:</w:t>
      </w:r>
    </w:p>
    <w:p w:rsidR="00505C77" w:rsidRPr="00A5642B" w:rsidRDefault="00AB0301" w:rsidP="00AB0301">
      <w:pPr>
        <w:pStyle w:val="a4"/>
        <w:numPr>
          <w:ilvl w:val="0"/>
          <w:numId w:val="2"/>
        </w:numPr>
        <w:tabs>
          <w:tab w:val="left" w:pos="1134"/>
        </w:tabs>
        <w:jc w:val="both"/>
        <w:rPr>
          <w:rFonts w:ascii="Times New Roman" w:hAnsi="Times New Roman"/>
          <w:sz w:val="28"/>
          <w:szCs w:val="28"/>
          <w:lang w:val="kk-KZ"/>
        </w:rPr>
      </w:pPr>
      <w:r w:rsidRPr="00AB0301">
        <w:rPr>
          <w:rFonts w:ascii="Times New Roman" w:hAnsi="Times New Roman"/>
          <w:color w:val="000000"/>
          <w:sz w:val="28"/>
          <w:szCs w:val="28"/>
          <w:lang w:val="kk-KZ"/>
        </w:rPr>
        <w:t xml:space="preserve">Entering information and its changes into </w:t>
      </w:r>
      <w:r>
        <w:rPr>
          <w:rFonts w:ascii="Times New Roman" w:hAnsi="Times New Roman"/>
          <w:color w:val="000000"/>
          <w:sz w:val="28"/>
          <w:szCs w:val="28"/>
          <w:lang w:val="kk-KZ"/>
        </w:rPr>
        <w:t xml:space="preserve">the State Register of Rights to </w:t>
      </w:r>
      <w:r w:rsidRPr="00AB0301">
        <w:rPr>
          <w:rFonts w:ascii="Times New Roman" w:hAnsi="Times New Roman"/>
          <w:color w:val="000000"/>
          <w:sz w:val="28"/>
          <w:szCs w:val="28"/>
          <w:lang w:val="kk-KZ"/>
        </w:rPr>
        <w:t>Objects Protected by Copyright;</w:t>
      </w:r>
      <w:r w:rsidR="00BB0999" w:rsidRPr="00AB0301">
        <w:rPr>
          <w:rFonts w:ascii="Times New Roman" w:hAnsi="Times New Roman"/>
          <w:color w:val="000000"/>
          <w:sz w:val="28"/>
          <w:szCs w:val="28"/>
          <w:lang w:val="kk-KZ"/>
        </w:rPr>
        <w:t>;</w:t>
      </w:r>
    </w:p>
    <w:p w:rsidR="00505C77" w:rsidRPr="00A5642B" w:rsidRDefault="00AB0301" w:rsidP="00AB0301">
      <w:pPr>
        <w:pStyle w:val="a4"/>
        <w:numPr>
          <w:ilvl w:val="0"/>
          <w:numId w:val="2"/>
        </w:numPr>
        <w:tabs>
          <w:tab w:val="left" w:pos="1134"/>
        </w:tabs>
        <w:jc w:val="both"/>
        <w:rPr>
          <w:rFonts w:ascii="Times New Roman" w:hAnsi="Times New Roman"/>
          <w:sz w:val="28"/>
          <w:szCs w:val="28"/>
          <w:lang w:val="kk-KZ"/>
        </w:rPr>
      </w:pPr>
      <w:r w:rsidRPr="00AB0301">
        <w:rPr>
          <w:rFonts w:ascii="Times New Roman" w:hAnsi="Times New Roman"/>
          <w:color w:val="000000"/>
          <w:sz w:val="28"/>
          <w:szCs w:val="28"/>
          <w:lang w:val="en-US"/>
        </w:rPr>
        <w:t xml:space="preserve">Registration of the grant of the right to use a trademark, a selection achievement and an object of industrial property, as well as the topology of an integrated </w:t>
      </w:r>
      <w:r>
        <w:rPr>
          <w:rFonts w:ascii="Times New Roman" w:hAnsi="Times New Roman"/>
          <w:color w:val="000000"/>
          <w:sz w:val="28"/>
          <w:szCs w:val="28"/>
          <w:lang w:val="en-US"/>
        </w:rPr>
        <w:t>micro</w:t>
      </w:r>
      <w:r w:rsidRPr="00AB0301">
        <w:rPr>
          <w:rFonts w:ascii="Times New Roman" w:hAnsi="Times New Roman"/>
          <w:color w:val="000000"/>
          <w:sz w:val="28"/>
          <w:szCs w:val="28"/>
          <w:lang w:val="en-US"/>
        </w:rPr>
        <w:t>circuit</w:t>
      </w:r>
      <w:r w:rsidR="00BB0999" w:rsidRPr="00AB0301">
        <w:rPr>
          <w:rFonts w:ascii="Times New Roman" w:hAnsi="Times New Roman"/>
          <w:color w:val="000000"/>
          <w:sz w:val="28"/>
          <w:szCs w:val="28"/>
          <w:lang w:val="en-US"/>
        </w:rPr>
        <w:t>;</w:t>
      </w:r>
    </w:p>
    <w:p w:rsidR="00505C77" w:rsidRPr="00A5642B" w:rsidRDefault="00AB0301" w:rsidP="00AB0301">
      <w:pPr>
        <w:pStyle w:val="a4"/>
        <w:numPr>
          <w:ilvl w:val="0"/>
          <w:numId w:val="2"/>
        </w:numPr>
        <w:tabs>
          <w:tab w:val="left" w:pos="1134"/>
        </w:tabs>
        <w:jc w:val="both"/>
        <w:rPr>
          <w:rFonts w:ascii="Times New Roman" w:hAnsi="Times New Roman"/>
          <w:sz w:val="28"/>
          <w:szCs w:val="28"/>
          <w:lang w:val="kk-KZ"/>
        </w:rPr>
      </w:pPr>
      <w:r w:rsidRPr="00AB0301">
        <w:rPr>
          <w:rFonts w:ascii="Times New Roman" w:hAnsi="Times New Roman"/>
          <w:color w:val="000000"/>
          <w:sz w:val="28"/>
          <w:szCs w:val="28"/>
          <w:lang w:val="en-US"/>
        </w:rPr>
        <w:t>Registration of the transfer of exclusive rights to a trademark, a selection achievement and an object of industrial property, as well as the topology of an integrated microcircuit</w:t>
      </w:r>
      <w:r w:rsidR="00BB0999" w:rsidRPr="00AB0301">
        <w:rPr>
          <w:rFonts w:ascii="Times New Roman" w:hAnsi="Times New Roman"/>
          <w:color w:val="000000"/>
          <w:sz w:val="28"/>
          <w:szCs w:val="28"/>
          <w:lang w:val="en-US"/>
        </w:rPr>
        <w:t>;</w:t>
      </w:r>
    </w:p>
    <w:p w:rsidR="00AB0301" w:rsidRPr="00AB0301" w:rsidRDefault="00AB0301" w:rsidP="00AB0301">
      <w:pPr>
        <w:pStyle w:val="a4"/>
        <w:numPr>
          <w:ilvl w:val="0"/>
          <w:numId w:val="2"/>
        </w:numPr>
        <w:tabs>
          <w:tab w:val="left" w:pos="1134"/>
        </w:tabs>
        <w:spacing w:after="20"/>
        <w:jc w:val="both"/>
        <w:rPr>
          <w:rFonts w:ascii="Times New Roman" w:hAnsi="Times New Roman"/>
          <w:sz w:val="28"/>
          <w:szCs w:val="28"/>
        </w:rPr>
      </w:pPr>
      <w:r w:rsidRPr="00AB0301">
        <w:rPr>
          <w:rFonts w:ascii="Times New Roman" w:hAnsi="Times New Roman"/>
          <w:color w:val="000000"/>
          <w:sz w:val="28"/>
          <w:szCs w:val="28"/>
        </w:rPr>
        <w:t>Trademark registration;</w:t>
      </w:r>
    </w:p>
    <w:p w:rsidR="00505C77" w:rsidRPr="00AB0301" w:rsidRDefault="00AB0301" w:rsidP="00AB0301">
      <w:pPr>
        <w:pStyle w:val="a4"/>
        <w:numPr>
          <w:ilvl w:val="0"/>
          <w:numId w:val="2"/>
        </w:numPr>
        <w:tabs>
          <w:tab w:val="left" w:pos="1134"/>
        </w:tabs>
        <w:spacing w:after="20"/>
        <w:jc w:val="both"/>
        <w:rPr>
          <w:rFonts w:ascii="Times New Roman" w:hAnsi="Times New Roman"/>
          <w:sz w:val="28"/>
          <w:szCs w:val="28"/>
          <w:lang w:val="en-US"/>
        </w:rPr>
      </w:pPr>
      <w:r w:rsidRPr="00AB0301">
        <w:rPr>
          <w:rFonts w:ascii="Times New Roman" w:hAnsi="Times New Roman"/>
          <w:color w:val="000000"/>
          <w:sz w:val="28"/>
          <w:szCs w:val="28"/>
          <w:lang w:val="en-US"/>
        </w:rPr>
        <w:t>Registration of the right to use the appellation of origin</w:t>
      </w:r>
      <w:r w:rsidR="00BB0999" w:rsidRPr="00AB0301">
        <w:rPr>
          <w:rFonts w:ascii="Times New Roman" w:hAnsi="Times New Roman"/>
          <w:color w:val="000000"/>
          <w:sz w:val="28"/>
          <w:szCs w:val="28"/>
          <w:lang w:val="en-US"/>
        </w:rPr>
        <w:t>;</w:t>
      </w:r>
    </w:p>
    <w:p w:rsidR="00361381" w:rsidRPr="00AB0301" w:rsidRDefault="00AB0301" w:rsidP="00AB0301">
      <w:pPr>
        <w:pStyle w:val="a4"/>
        <w:numPr>
          <w:ilvl w:val="0"/>
          <w:numId w:val="2"/>
        </w:numPr>
        <w:tabs>
          <w:tab w:val="left" w:pos="1134"/>
        </w:tabs>
        <w:spacing w:after="20"/>
        <w:jc w:val="both"/>
        <w:rPr>
          <w:rFonts w:ascii="Times New Roman" w:hAnsi="Times New Roman"/>
          <w:sz w:val="28"/>
          <w:szCs w:val="28"/>
          <w:lang w:val="en-US"/>
        </w:rPr>
      </w:pPr>
      <w:r w:rsidRPr="00AB0301">
        <w:rPr>
          <w:rFonts w:ascii="Times New Roman" w:hAnsi="Times New Roman"/>
          <w:color w:val="000000"/>
          <w:sz w:val="28"/>
          <w:szCs w:val="28"/>
          <w:lang w:val="en-US"/>
        </w:rPr>
        <w:t>Registration of the right to use a geographical indication;</w:t>
      </w:r>
    </w:p>
    <w:p w:rsidR="00E452EF" w:rsidRPr="00E452EF" w:rsidRDefault="00AB0301" w:rsidP="00AB0301">
      <w:pPr>
        <w:pStyle w:val="a4"/>
        <w:numPr>
          <w:ilvl w:val="0"/>
          <w:numId w:val="2"/>
        </w:numPr>
        <w:tabs>
          <w:tab w:val="left" w:pos="1134"/>
        </w:tabs>
        <w:spacing w:after="20"/>
        <w:jc w:val="both"/>
        <w:rPr>
          <w:rFonts w:ascii="Times New Roman" w:hAnsi="Times New Roman"/>
          <w:sz w:val="28"/>
          <w:szCs w:val="28"/>
          <w:lang w:val="en-US"/>
        </w:rPr>
      </w:pPr>
      <w:r w:rsidRPr="00AB0301">
        <w:rPr>
          <w:rFonts w:ascii="Times New Roman" w:hAnsi="Times New Roman"/>
          <w:color w:val="000000"/>
          <w:sz w:val="28"/>
          <w:szCs w:val="28"/>
          <w:lang w:val="en-US"/>
        </w:rPr>
        <w:t>Issuance of security documents in th</w:t>
      </w:r>
      <w:r w:rsidR="00E452EF">
        <w:rPr>
          <w:rFonts w:ascii="Times New Roman" w:hAnsi="Times New Roman"/>
          <w:color w:val="000000"/>
          <w:sz w:val="28"/>
          <w:szCs w:val="28"/>
          <w:lang w:val="en-US"/>
        </w:rPr>
        <w:t>e field of industrial property;</w:t>
      </w:r>
    </w:p>
    <w:p w:rsidR="00361381" w:rsidRPr="00AB0301" w:rsidRDefault="00E452EF" w:rsidP="00E452EF">
      <w:pPr>
        <w:pStyle w:val="a4"/>
        <w:numPr>
          <w:ilvl w:val="0"/>
          <w:numId w:val="2"/>
        </w:numPr>
        <w:tabs>
          <w:tab w:val="left" w:pos="1134"/>
        </w:tabs>
        <w:spacing w:after="20"/>
        <w:jc w:val="both"/>
        <w:rPr>
          <w:rFonts w:ascii="Times New Roman" w:hAnsi="Times New Roman"/>
          <w:sz w:val="28"/>
          <w:szCs w:val="28"/>
          <w:lang w:val="en-US"/>
        </w:rPr>
      </w:pPr>
      <w:r w:rsidRPr="00E452EF">
        <w:rPr>
          <w:rFonts w:ascii="Times New Roman" w:hAnsi="Times New Roman"/>
          <w:color w:val="000000"/>
          <w:sz w:val="28"/>
          <w:szCs w:val="28"/>
          <w:lang w:val="en-US"/>
        </w:rPr>
        <w:t>Registration of itopology of an integrated microcircuit</w:t>
      </w:r>
      <w:r w:rsidR="00BB0999" w:rsidRPr="00AB0301">
        <w:rPr>
          <w:rFonts w:ascii="Times New Roman" w:hAnsi="Times New Roman"/>
          <w:color w:val="000000"/>
          <w:sz w:val="28"/>
          <w:szCs w:val="28"/>
          <w:lang w:val="en-US"/>
        </w:rPr>
        <w:t>;</w:t>
      </w:r>
    </w:p>
    <w:p w:rsidR="00361381" w:rsidRPr="00E452EF" w:rsidRDefault="00E452EF" w:rsidP="00E452EF">
      <w:pPr>
        <w:pStyle w:val="a4"/>
        <w:numPr>
          <w:ilvl w:val="0"/>
          <w:numId w:val="2"/>
        </w:numPr>
        <w:tabs>
          <w:tab w:val="left" w:pos="1134"/>
        </w:tabs>
        <w:spacing w:after="20"/>
        <w:jc w:val="both"/>
        <w:rPr>
          <w:rFonts w:ascii="Times New Roman" w:hAnsi="Times New Roman"/>
          <w:sz w:val="28"/>
          <w:szCs w:val="28"/>
          <w:lang w:val="en-US"/>
        </w:rPr>
      </w:pPr>
      <w:r w:rsidRPr="00E452EF">
        <w:rPr>
          <w:rFonts w:ascii="Times New Roman" w:hAnsi="Times New Roman"/>
          <w:color w:val="000000"/>
          <w:sz w:val="28"/>
          <w:szCs w:val="28"/>
          <w:lang w:val="en-US"/>
        </w:rPr>
        <w:t>Issuance of a security document for a selection achievement.</w:t>
      </w:r>
    </w:p>
    <w:p w:rsidR="005A137C" w:rsidRPr="00E452EF" w:rsidRDefault="00E452EF" w:rsidP="005A137C">
      <w:pPr>
        <w:ind w:firstLine="708"/>
        <w:jc w:val="both"/>
        <w:rPr>
          <w:sz w:val="28"/>
          <w:szCs w:val="28"/>
          <w:lang w:val="en-US"/>
        </w:rPr>
      </w:pPr>
      <w:r w:rsidRPr="00E452EF">
        <w:rPr>
          <w:sz w:val="28"/>
          <w:szCs w:val="28"/>
          <w:lang w:val="en-US"/>
        </w:rPr>
        <w:t>RSE "NIIP" transfers part of its net income to the republican budget in accordance with the standards and deadlines established by law.</w:t>
      </w:r>
    </w:p>
    <w:p w:rsidR="005A137C" w:rsidRPr="00E452EF" w:rsidRDefault="00E452EF" w:rsidP="005A137C">
      <w:pPr>
        <w:ind w:firstLine="708"/>
        <w:jc w:val="both"/>
        <w:rPr>
          <w:sz w:val="28"/>
          <w:szCs w:val="28"/>
          <w:lang w:val="en-US"/>
        </w:rPr>
      </w:pPr>
      <w:r w:rsidRPr="00E452EF">
        <w:rPr>
          <w:sz w:val="28"/>
          <w:szCs w:val="28"/>
          <w:lang w:val="en-US"/>
        </w:rPr>
        <w:t>Accounting and preparation of financial statements of RSE “NIIP” is carried out in accordance with the legislation on accounting and financial reporting of the Republic of Kazakhstan and the accounting policy approved by the Director of RSE “NIIP” in coordination with the authorized body of the relevant industry in accordance with international financial reporting standards.</w:t>
      </w:r>
    </w:p>
    <w:p w:rsidR="00B82A5D" w:rsidRPr="00E452EF" w:rsidRDefault="00E452EF" w:rsidP="00FF6910">
      <w:pPr>
        <w:tabs>
          <w:tab w:val="left" w:pos="4530"/>
        </w:tabs>
        <w:ind w:firstLine="708"/>
        <w:jc w:val="both"/>
        <w:rPr>
          <w:sz w:val="28"/>
          <w:szCs w:val="28"/>
          <w:lang w:val="en-US"/>
        </w:rPr>
      </w:pPr>
      <w:r w:rsidRPr="00E452EF">
        <w:rPr>
          <w:sz w:val="28"/>
          <w:szCs w:val="28"/>
          <w:lang w:val="en-US"/>
        </w:rPr>
        <w:lastRenderedPageBreak/>
        <w:t xml:space="preserve">According to the results of 2024, the revenue part of the RSE "NIIP" was at the level of </w:t>
      </w:r>
      <w:r w:rsidRPr="00E452EF">
        <w:rPr>
          <w:b/>
          <w:sz w:val="28"/>
          <w:szCs w:val="28"/>
          <w:lang w:val="en-US"/>
        </w:rPr>
        <w:t>3559.1</w:t>
      </w:r>
      <w:r w:rsidRPr="00E452EF">
        <w:rPr>
          <w:sz w:val="28"/>
          <w:szCs w:val="28"/>
          <w:lang w:val="en-US"/>
        </w:rPr>
        <w:t xml:space="preserve"> million tenge received from the sale of services provided by the company's Charter, including expert services for the main types of activities to individuals and legal entities in the field of intellectual property rights protection, such as trademarks, inventions, a selection achievements, copyrights, contracts on the disposal of exclusive rights, the maintenance of security documents in force and the above-mentioned public services and other services.</w:t>
      </w:r>
      <w:r>
        <w:rPr>
          <w:sz w:val="28"/>
          <w:szCs w:val="28"/>
          <w:lang w:val="en-US"/>
        </w:rPr>
        <w:br/>
      </w:r>
    </w:p>
    <w:p w:rsidR="00B82A5D" w:rsidRDefault="00B82A5D" w:rsidP="00A23A84">
      <w:pPr>
        <w:tabs>
          <w:tab w:val="left" w:pos="4530"/>
        </w:tabs>
        <w:jc w:val="both"/>
        <w:rPr>
          <w:sz w:val="28"/>
          <w:szCs w:val="28"/>
          <w:lang w:val="kk-KZ"/>
        </w:rPr>
      </w:pPr>
      <w:bookmarkStart w:id="0" w:name="_GoBack"/>
      <w:r>
        <w:rPr>
          <w:noProof/>
          <w:sz w:val="28"/>
          <w:szCs w:val="28"/>
        </w:rPr>
        <w:drawing>
          <wp:inline distT="0" distB="0" distL="0" distR="0">
            <wp:extent cx="5886450" cy="3505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0"/>
    </w:p>
    <w:p w:rsidR="00B82A5D" w:rsidRDefault="00B82A5D" w:rsidP="00FF6910">
      <w:pPr>
        <w:tabs>
          <w:tab w:val="left" w:pos="4530"/>
        </w:tabs>
        <w:ind w:firstLine="708"/>
        <w:jc w:val="both"/>
        <w:rPr>
          <w:sz w:val="28"/>
          <w:szCs w:val="28"/>
          <w:lang w:val="kk-KZ"/>
        </w:rPr>
      </w:pPr>
    </w:p>
    <w:p w:rsidR="00B82A5D" w:rsidRDefault="00B82A5D" w:rsidP="00FF6910">
      <w:pPr>
        <w:tabs>
          <w:tab w:val="left" w:pos="4530"/>
        </w:tabs>
        <w:ind w:firstLine="708"/>
        <w:jc w:val="both"/>
        <w:rPr>
          <w:sz w:val="28"/>
          <w:szCs w:val="28"/>
          <w:lang w:val="kk-KZ"/>
        </w:rPr>
      </w:pPr>
    </w:p>
    <w:p w:rsidR="005A137C" w:rsidRPr="00E452EF" w:rsidRDefault="00E452EF" w:rsidP="005A137C">
      <w:pPr>
        <w:ind w:firstLine="708"/>
        <w:jc w:val="both"/>
        <w:rPr>
          <w:b/>
          <w:sz w:val="28"/>
          <w:szCs w:val="28"/>
          <w:lang w:val="en-US"/>
        </w:rPr>
      </w:pPr>
      <w:r w:rsidRPr="00E452EF">
        <w:rPr>
          <w:sz w:val="28"/>
          <w:szCs w:val="28"/>
          <w:lang w:val="en-US"/>
        </w:rPr>
        <w:t xml:space="preserve">The expenditure part for 2024 was formed at the level of </w:t>
      </w:r>
      <w:r w:rsidRPr="00E452EF">
        <w:rPr>
          <w:b/>
          <w:sz w:val="28"/>
          <w:szCs w:val="28"/>
          <w:lang w:val="en-US"/>
        </w:rPr>
        <w:t>2938.6 million tenge</w:t>
      </w:r>
      <w:r w:rsidRPr="00E452EF">
        <w:rPr>
          <w:sz w:val="28"/>
          <w:szCs w:val="28"/>
          <w:lang w:val="en-US"/>
        </w:rPr>
        <w:t>, aimed at the implementation of the statutory activities of the RSE "NIIP" and the implementation of the set strategic goals and objectives.</w:t>
      </w:r>
    </w:p>
    <w:p w:rsidR="00606F06" w:rsidRPr="00E452EF" w:rsidRDefault="00E452EF" w:rsidP="00E452EF">
      <w:pPr>
        <w:ind w:firstLine="708"/>
        <w:jc w:val="both"/>
        <w:rPr>
          <w:sz w:val="28"/>
          <w:szCs w:val="28"/>
          <w:lang w:val="en-US"/>
        </w:rPr>
      </w:pPr>
      <w:r w:rsidRPr="00E452EF">
        <w:rPr>
          <w:sz w:val="28"/>
          <w:szCs w:val="28"/>
          <w:lang w:val="en-US"/>
        </w:rPr>
        <w:t xml:space="preserve">According to the results of the financial year, the share of net profit was transferred to the state budget, which amounted to </w:t>
      </w:r>
      <w:r w:rsidRPr="00E452EF">
        <w:rPr>
          <w:b/>
          <w:sz w:val="28"/>
          <w:szCs w:val="28"/>
          <w:lang w:val="en-US"/>
        </w:rPr>
        <w:t>303.48</w:t>
      </w:r>
      <w:r w:rsidRPr="00E452EF">
        <w:rPr>
          <w:sz w:val="28"/>
          <w:szCs w:val="28"/>
          <w:lang w:val="en-US"/>
        </w:rPr>
        <w:t xml:space="preserve"> million tenge or 50%.</w:t>
      </w:r>
    </w:p>
    <w:sectPr w:rsidR="00606F06" w:rsidRPr="00E45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A77"/>
    <w:multiLevelType w:val="hybridMultilevel"/>
    <w:tmpl w:val="5964A5E2"/>
    <w:lvl w:ilvl="0" w:tplc="96223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03111F6"/>
    <w:multiLevelType w:val="hybridMultilevel"/>
    <w:tmpl w:val="0AAA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3D"/>
    <w:rsid w:val="000348E5"/>
    <w:rsid w:val="00035161"/>
    <w:rsid w:val="00055F6B"/>
    <w:rsid w:val="000610CF"/>
    <w:rsid w:val="000B55D5"/>
    <w:rsid w:val="000F5EB2"/>
    <w:rsid w:val="00107537"/>
    <w:rsid w:val="001138F0"/>
    <w:rsid w:val="00132792"/>
    <w:rsid w:val="00137B4B"/>
    <w:rsid w:val="00137B8D"/>
    <w:rsid w:val="001476E9"/>
    <w:rsid w:val="00173A9D"/>
    <w:rsid w:val="00177216"/>
    <w:rsid w:val="00182118"/>
    <w:rsid w:val="00196983"/>
    <w:rsid w:val="001A4297"/>
    <w:rsid w:val="001C51AE"/>
    <w:rsid w:val="001C659F"/>
    <w:rsid w:val="001C6981"/>
    <w:rsid w:val="001D169D"/>
    <w:rsid w:val="001D632E"/>
    <w:rsid w:val="001F671A"/>
    <w:rsid w:val="0020317E"/>
    <w:rsid w:val="00207A7A"/>
    <w:rsid w:val="002111FE"/>
    <w:rsid w:val="002119DF"/>
    <w:rsid w:val="0024610A"/>
    <w:rsid w:val="002720C4"/>
    <w:rsid w:val="00276767"/>
    <w:rsid w:val="00276D8B"/>
    <w:rsid w:val="00293A94"/>
    <w:rsid w:val="002A188C"/>
    <w:rsid w:val="002B155A"/>
    <w:rsid w:val="002D3A8B"/>
    <w:rsid w:val="00300300"/>
    <w:rsid w:val="00306080"/>
    <w:rsid w:val="00312FD3"/>
    <w:rsid w:val="00330ED1"/>
    <w:rsid w:val="00331388"/>
    <w:rsid w:val="00361381"/>
    <w:rsid w:val="003809F1"/>
    <w:rsid w:val="003B0B23"/>
    <w:rsid w:val="003C230C"/>
    <w:rsid w:val="003D4E6B"/>
    <w:rsid w:val="003E4707"/>
    <w:rsid w:val="003F090F"/>
    <w:rsid w:val="004142C9"/>
    <w:rsid w:val="00416A3C"/>
    <w:rsid w:val="004173D5"/>
    <w:rsid w:val="00434681"/>
    <w:rsid w:val="00440BF8"/>
    <w:rsid w:val="004427EE"/>
    <w:rsid w:val="00455FE1"/>
    <w:rsid w:val="00477FA4"/>
    <w:rsid w:val="00486390"/>
    <w:rsid w:val="00496906"/>
    <w:rsid w:val="004E7423"/>
    <w:rsid w:val="004F241B"/>
    <w:rsid w:val="004F5608"/>
    <w:rsid w:val="0050022D"/>
    <w:rsid w:val="00502E98"/>
    <w:rsid w:val="00503C90"/>
    <w:rsid w:val="00505C77"/>
    <w:rsid w:val="00527110"/>
    <w:rsid w:val="00567EEF"/>
    <w:rsid w:val="005750A6"/>
    <w:rsid w:val="005775B4"/>
    <w:rsid w:val="00583E6A"/>
    <w:rsid w:val="005A137C"/>
    <w:rsid w:val="005A421B"/>
    <w:rsid w:val="005C405C"/>
    <w:rsid w:val="005E3A28"/>
    <w:rsid w:val="00606F06"/>
    <w:rsid w:val="00621955"/>
    <w:rsid w:val="00640DF4"/>
    <w:rsid w:val="00652FAD"/>
    <w:rsid w:val="00660C7A"/>
    <w:rsid w:val="00661FCC"/>
    <w:rsid w:val="006840A0"/>
    <w:rsid w:val="006861D3"/>
    <w:rsid w:val="00692E23"/>
    <w:rsid w:val="006A1E60"/>
    <w:rsid w:val="006B7716"/>
    <w:rsid w:val="006C09E2"/>
    <w:rsid w:val="006C6608"/>
    <w:rsid w:val="006C7B90"/>
    <w:rsid w:val="006D16A3"/>
    <w:rsid w:val="006E4C30"/>
    <w:rsid w:val="006E7E3D"/>
    <w:rsid w:val="007016E7"/>
    <w:rsid w:val="00711765"/>
    <w:rsid w:val="00752C24"/>
    <w:rsid w:val="00755555"/>
    <w:rsid w:val="00756068"/>
    <w:rsid w:val="00774754"/>
    <w:rsid w:val="00780092"/>
    <w:rsid w:val="007840F7"/>
    <w:rsid w:val="00786600"/>
    <w:rsid w:val="00787D1B"/>
    <w:rsid w:val="007A1FBC"/>
    <w:rsid w:val="007B5D8F"/>
    <w:rsid w:val="007C2C19"/>
    <w:rsid w:val="007C59B6"/>
    <w:rsid w:val="007F265D"/>
    <w:rsid w:val="007F5349"/>
    <w:rsid w:val="00813EBD"/>
    <w:rsid w:val="0086036E"/>
    <w:rsid w:val="00871972"/>
    <w:rsid w:val="00876A9E"/>
    <w:rsid w:val="00894E12"/>
    <w:rsid w:val="008969ED"/>
    <w:rsid w:val="008C3940"/>
    <w:rsid w:val="008E1BAC"/>
    <w:rsid w:val="008E6626"/>
    <w:rsid w:val="008F26E8"/>
    <w:rsid w:val="008F64C1"/>
    <w:rsid w:val="008F7122"/>
    <w:rsid w:val="0090251D"/>
    <w:rsid w:val="00910FDE"/>
    <w:rsid w:val="0092353E"/>
    <w:rsid w:val="00933D1B"/>
    <w:rsid w:val="00941CB5"/>
    <w:rsid w:val="00963808"/>
    <w:rsid w:val="00967622"/>
    <w:rsid w:val="00971175"/>
    <w:rsid w:val="009D26B8"/>
    <w:rsid w:val="00A23A84"/>
    <w:rsid w:val="00A3623D"/>
    <w:rsid w:val="00A537A2"/>
    <w:rsid w:val="00A53A1C"/>
    <w:rsid w:val="00A54EA2"/>
    <w:rsid w:val="00A5642B"/>
    <w:rsid w:val="00A6515F"/>
    <w:rsid w:val="00A66362"/>
    <w:rsid w:val="00A9039C"/>
    <w:rsid w:val="00AA3BA6"/>
    <w:rsid w:val="00AB0301"/>
    <w:rsid w:val="00AD5D11"/>
    <w:rsid w:val="00AE1490"/>
    <w:rsid w:val="00AE68F8"/>
    <w:rsid w:val="00AF088A"/>
    <w:rsid w:val="00AF1611"/>
    <w:rsid w:val="00B16362"/>
    <w:rsid w:val="00B342F6"/>
    <w:rsid w:val="00B50306"/>
    <w:rsid w:val="00B82A5D"/>
    <w:rsid w:val="00B87E4D"/>
    <w:rsid w:val="00BB0999"/>
    <w:rsid w:val="00BB1979"/>
    <w:rsid w:val="00BB279B"/>
    <w:rsid w:val="00BB355B"/>
    <w:rsid w:val="00BB3C71"/>
    <w:rsid w:val="00BE76BF"/>
    <w:rsid w:val="00BE7948"/>
    <w:rsid w:val="00BF1C84"/>
    <w:rsid w:val="00BF4609"/>
    <w:rsid w:val="00BF7A4E"/>
    <w:rsid w:val="00C152DF"/>
    <w:rsid w:val="00C26833"/>
    <w:rsid w:val="00C2774A"/>
    <w:rsid w:val="00C74957"/>
    <w:rsid w:val="00C761DD"/>
    <w:rsid w:val="00CA4372"/>
    <w:rsid w:val="00CA643D"/>
    <w:rsid w:val="00CB266F"/>
    <w:rsid w:val="00CC4C32"/>
    <w:rsid w:val="00CE1E44"/>
    <w:rsid w:val="00CF0841"/>
    <w:rsid w:val="00CF49C9"/>
    <w:rsid w:val="00CF636B"/>
    <w:rsid w:val="00D10E14"/>
    <w:rsid w:val="00D26E68"/>
    <w:rsid w:val="00D41651"/>
    <w:rsid w:val="00D96904"/>
    <w:rsid w:val="00DB0590"/>
    <w:rsid w:val="00DF091E"/>
    <w:rsid w:val="00E04BDA"/>
    <w:rsid w:val="00E100C1"/>
    <w:rsid w:val="00E22863"/>
    <w:rsid w:val="00E23029"/>
    <w:rsid w:val="00E30A92"/>
    <w:rsid w:val="00E36756"/>
    <w:rsid w:val="00E452EF"/>
    <w:rsid w:val="00E7291A"/>
    <w:rsid w:val="00E87186"/>
    <w:rsid w:val="00EB6758"/>
    <w:rsid w:val="00EC1603"/>
    <w:rsid w:val="00EF02FD"/>
    <w:rsid w:val="00EF57E6"/>
    <w:rsid w:val="00EF6ABB"/>
    <w:rsid w:val="00F04D54"/>
    <w:rsid w:val="00F14BF3"/>
    <w:rsid w:val="00F1709A"/>
    <w:rsid w:val="00F37B56"/>
    <w:rsid w:val="00F826CA"/>
    <w:rsid w:val="00F83F1B"/>
    <w:rsid w:val="00F9157E"/>
    <w:rsid w:val="00FC143A"/>
    <w:rsid w:val="00FE4946"/>
    <w:rsid w:val="00FF691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DCE0"/>
  <w15:chartTrackingRefBased/>
  <w15:docId w15:val="{44B7EE88-3767-4A42-816C-D3216E1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12"/>
    <w:rPr>
      <w:sz w:val="24"/>
      <w:szCs w:val="24"/>
    </w:rPr>
  </w:style>
  <w:style w:type="paragraph" w:styleId="1">
    <w:name w:val="heading 1"/>
    <w:basedOn w:val="a"/>
    <w:next w:val="a"/>
    <w:link w:val="10"/>
    <w:uiPriority w:val="99"/>
    <w:qFormat/>
    <w:rsid w:val="00894E12"/>
    <w:pPr>
      <w:keepNext/>
      <w:spacing w:before="240" w:after="60"/>
      <w:outlineLvl w:val="0"/>
    </w:pPr>
    <w:rPr>
      <w:rFonts w:ascii="Cambria" w:hAnsi="Cambria" w:cs="Cambria"/>
      <w:b/>
      <w:bCs/>
      <w:kern w:val="32"/>
      <w:sz w:val="32"/>
      <w:szCs w:val="32"/>
    </w:rPr>
  </w:style>
  <w:style w:type="paragraph" w:styleId="2">
    <w:name w:val="heading 2"/>
    <w:basedOn w:val="a"/>
    <w:next w:val="a"/>
    <w:link w:val="20"/>
    <w:semiHidden/>
    <w:unhideWhenUsed/>
    <w:qFormat/>
    <w:rsid w:val="00894E12"/>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894E12"/>
    <w:pPr>
      <w:spacing w:before="100" w:beforeAutospacing="1" w:after="100" w:afterAutospacing="1"/>
      <w:outlineLvl w:val="2"/>
    </w:pPr>
    <w:rPr>
      <w:rFonts w:ascii="Cambria" w:hAnsi="Cambria" w:cs="Cambria"/>
      <w:b/>
      <w:bCs/>
      <w:sz w:val="26"/>
      <w:szCs w:val="26"/>
    </w:rPr>
  </w:style>
  <w:style w:type="paragraph" w:styleId="4">
    <w:name w:val="heading 4"/>
    <w:basedOn w:val="a"/>
    <w:next w:val="a"/>
    <w:link w:val="40"/>
    <w:uiPriority w:val="99"/>
    <w:qFormat/>
    <w:rsid w:val="00894E12"/>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94E12"/>
    <w:rPr>
      <w:rFonts w:ascii="Cambria" w:hAnsi="Cambria" w:cs="Cambria"/>
      <w:b/>
      <w:bCs/>
      <w:kern w:val="32"/>
      <w:sz w:val="32"/>
      <w:szCs w:val="32"/>
    </w:rPr>
  </w:style>
  <w:style w:type="character" w:customStyle="1" w:styleId="20">
    <w:name w:val="Заголовок 2 Знак"/>
    <w:link w:val="2"/>
    <w:semiHidden/>
    <w:rsid w:val="00894E12"/>
    <w:rPr>
      <w:rFonts w:ascii="Cambria" w:hAnsi="Cambria"/>
      <w:b/>
      <w:bCs/>
      <w:i/>
      <w:iCs/>
      <w:sz w:val="28"/>
      <w:szCs w:val="28"/>
    </w:rPr>
  </w:style>
  <w:style w:type="character" w:customStyle="1" w:styleId="30">
    <w:name w:val="Заголовок 3 Знак"/>
    <w:link w:val="3"/>
    <w:uiPriority w:val="9"/>
    <w:rsid w:val="00894E12"/>
    <w:rPr>
      <w:rFonts w:ascii="Cambria" w:hAnsi="Cambria" w:cs="Cambria"/>
      <w:b/>
      <w:bCs/>
      <w:sz w:val="26"/>
      <w:szCs w:val="26"/>
    </w:rPr>
  </w:style>
  <w:style w:type="character" w:customStyle="1" w:styleId="40">
    <w:name w:val="Заголовок 4 Знак"/>
    <w:link w:val="4"/>
    <w:uiPriority w:val="99"/>
    <w:rsid w:val="00894E12"/>
    <w:rPr>
      <w:rFonts w:ascii="Calibri" w:hAnsi="Calibri" w:cs="Calibri"/>
      <w:b/>
      <w:bCs/>
      <w:sz w:val="28"/>
      <w:szCs w:val="28"/>
    </w:rPr>
  </w:style>
  <w:style w:type="character" w:styleId="a3">
    <w:name w:val="Strong"/>
    <w:uiPriority w:val="22"/>
    <w:qFormat/>
    <w:rsid w:val="00894E12"/>
    <w:rPr>
      <w:b/>
      <w:bCs/>
    </w:rPr>
  </w:style>
  <w:style w:type="paragraph" w:styleId="a4">
    <w:name w:val="List Paragraph"/>
    <w:basedOn w:val="a"/>
    <w:uiPriority w:val="34"/>
    <w:qFormat/>
    <w:rsid w:val="00894E12"/>
    <w:pPr>
      <w:spacing w:after="160" w:line="259"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A66362"/>
    <w:rPr>
      <w:rFonts w:ascii="Segoe UI" w:hAnsi="Segoe UI" w:cs="Segoe UI"/>
      <w:sz w:val="18"/>
      <w:szCs w:val="18"/>
    </w:rPr>
  </w:style>
  <w:style w:type="character" w:customStyle="1" w:styleId="a6">
    <w:name w:val="Текст выноски Знак"/>
    <w:basedOn w:val="a0"/>
    <w:link w:val="a5"/>
    <w:uiPriority w:val="99"/>
    <w:semiHidden/>
    <w:rsid w:val="00A6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Share of income on intellectual property objects in 2024</a:t>
            </a:r>
          </a:p>
        </c:rich>
      </c:tx>
      <c:layout>
        <c:manualLayout>
          <c:xMode val="edge"/>
          <c:yMode val="edge"/>
          <c:x val="0.14733549083063646"/>
          <c:y val="0"/>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Лист1!$B$1</c:f>
              <c:strCache>
                <c:ptCount val="1"/>
                <c:pt idx="0">
                  <c:v>Доход от оказания гос.услуг и других юридически значимых действий по итогам 2024 года</c:v>
                </c:pt>
              </c:strCache>
            </c:strRef>
          </c:tx>
          <c:spPr>
            <a:effectLst>
              <a:outerShdw blurRad="139700" dist="50800" dir="4560000" algn="ctr" rotWithShape="0">
                <a:srgbClr val="000000">
                  <a:alpha val="43137"/>
                </a:srgbClr>
              </a:outerShdw>
            </a:effectLst>
          </c:spPr>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1-FD09-4291-A778-E53344B8C48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3-FD09-4291-A778-E53344B8C48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5-FD09-4291-A778-E53344B8C48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7-FD09-4291-A778-E53344B8C48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9-FD09-4291-A778-E53344B8C48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B-FD09-4291-A778-E53344B8C48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D-FD09-4291-A778-E53344B8C48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F-FD09-4291-A778-E53344B8C482}"/>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11-081C-4D74-BE1B-25B50A007417}"/>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10-081C-4D74-BE1B-25B50A007417}"/>
              </c:ext>
            </c:extLst>
          </c:dPt>
          <c:dLbls>
            <c:dLbl>
              <c:idx val="0"/>
              <c:layout>
                <c:manualLayout>
                  <c:x val="1.9538771245827202E-2"/>
                  <c:y val="-0.162438377268059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09-4291-A778-E53344B8C482}"/>
                </c:ext>
              </c:extLst>
            </c:dLbl>
            <c:dLbl>
              <c:idx val="1"/>
              <c:layout>
                <c:manualLayout>
                  <c:x val="1.9668730729047217E-2"/>
                  <c:y val="6.25162615542622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09-4291-A778-E53344B8C482}"/>
                </c:ext>
              </c:extLst>
            </c:dLbl>
            <c:dLbl>
              <c:idx val="2"/>
              <c:layout>
                <c:manualLayout>
                  <c:x val="-4.5281621350729218E-2"/>
                  <c:y val="-0.1011333162159077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261057173678532"/>
                      <c:h val="0.21086956521739128"/>
                    </c:manualLayout>
                  </c15:layout>
                </c:ext>
                <c:ext xmlns:c16="http://schemas.microsoft.com/office/drawing/2014/chart" uri="{C3380CC4-5D6E-409C-BE32-E72D297353CC}">
                  <c16:uniqueId val="{00000005-FD09-4291-A778-E53344B8C482}"/>
                </c:ext>
              </c:extLst>
            </c:dLbl>
            <c:dLbl>
              <c:idx val="3"/>
              <c:layout>
                <c:manualLayout>
                  <c:x val="0"/>
                  <c:y val="-0.2544305603103960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8804746494066885"/>
                      <c:h val="0.21739130434782608"/>
                    </c:manualLayout>
                  </c15:layout>
                </c:ext>
                <c:ext xmlns:c16="http://schemas.microsoft.com/office/drawing/2014/chart" uri="{C3380CC4-5D6E-409C-BE32-E72D297353CC}">
                  <c16:uniqueId val="{00000007-FD09-4291-A778-E53344B8C482}"/>
                </c:ext>
              </c:extLst>
            </c:dLbl>
            <c:dLbl>
              <c:idx val="4"/>
              <c:layout>
                <c:manualLayout>
                  <c:x val="-2.8512261210067173E-2"/>
                  <c:y val="-0.4606633002396439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3011866235167209"/>
                      <c:h val="0.16086956521739129"/>
                    </c:manualLayout>
                  </c15:layout>
                </c:ext>
                <c:ext xmlns:c16="http://schemas.microsoft.com/office/drawing/2014/chart" uri="{C3380CC4-5D6E-409C-BE32-E72D297353CC}">
                  <c16:uniqueId val="{00000009-FD09-4291-A778-E53344B8C482}"/>
                </c:ext>
              </c:extLst>
            </c:dLbl>
            <c:dLbl>
              <c:idx val="5"/>
              <c:layout>
                <c:manualLayout>
                  <c:x val="0.10939683510434982"/>
                  <c:y val="0.3352275191144585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759447544785058"/>
                      <c:h val="0.21086956521739128"/>
                    </c:manualLayout>
                  </c15:layout>
                </c:ext>
                <c:ext xmlns:c16="http://schemas.microsoft.com/office/drawing/2014/chart" uri="{C3380CC4-5D6E-409C-BE32-E72D297353CC}">
                  <c16:uniqueId val="{0000000B-FD09-4291-A778-E53344B8C482}"/>
                </c:ext>
              </c:extLst>
            </c:dLbl>
            <c:dLbl>
              <c:idx val="6"/>
              <c:layout>
                <c:manualLayout>
                  <c:x val="-3.4176795861683919E-3"/>
                  <c:y val="-0.3153454867054661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D09-4291-A778-E53344B8C482}"/>
                </c:ext>
              </c:extLst>
            </c:dLbl>
            <c:dLbl>
              <c:idx val="7"/>
              <c:layout>
                <c:manualLayout>
                  <c:x val="6.7291491476186835E-2"/>
                  <c:y val="-0.146043307086614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D09-4291-A778-E53344B8C482}"/>
                </c:ext>
              </c:extLst>
            </c:dLbl>
            <c:dLbl>
              <c:idx val="8"/>
              <c:layout>
                <c:manualLayout>
                  <c:x val="2.1147210967561093E-2"/>
                  <c:y val="-2.4163813762410134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5472483415301245"/>
                      <c:h val="0.16449275362318841"/>
                    </c:manualLayout>
                  </c15:layout>
                </c:ext>
                <c:ext xmlns:c16="http://schemas.microsoft.com/office/drawing/2014/chart" uri="{C3380CC4-5D6E-409C-BE32-E72D297353CC}">
                  <c16:uniqueId val="{00000011-081C-4D74-BE1B-25B50A007417}"/>
                </c:ext>
              </c:extLst>
            </c:dLbl>
            <c:dLbl>
              <c:idx val="9"/>
              <c:layout>
                <c:manualLayout>
                  <c:x val="-2.6290718514554692E-2"/>
                  <c:y val="0.1051686066415611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429333469238676"/>
                      <c:h val="0.16086956521739129"/>
                    </c:manualLayout>
                  </c15:layout>
                </c:ext>
                <c:ext xmlns:c16="http://schemas.microsoft.com/office/drawing/2014/chart" uri="{C3380CC4-5D6E-409C-BE32-E72D297353CC}">
                  <c16:uniqueId val="{00000010-081C-4D74-BE1B-25B50A00741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Trademark</c:v>
                </c:pt>
                <c:pt idx="1">
                  <c:v>Industrial design</c:v>
                </c:pt>
                <c:pt idx="2">
                  <c:v>Invention, utility model</c:v>
                </c:pt>
                <c:pt idx="3">
                  <c:v>Training seminars (NIIP Training Center and WIPO Summer School)</c:v>
                </c:pt>
                <c:pt idx="4">
                  <c:v>Selection achievement</c:v>
                </c:pt>
                <c:pt idx="5">
                  <c:v>State Register of Rights and publication of information</c:v>
                </c:pt>
                <c:pt idx="6">
                  <c:v>Copyright</c:v>
                </c:pt>
                <c:pt idx="7">
                  <c:v>Geographical indications</c:v>
                </c:pt>
                <c:pt idx="8">
                  <c:v>Registration of agreements</c:v>
                </c:pt>
                <c:pt idx="9">
                  <c:v>Thematic searches</c:v>
                </c:pt>
              </c:strCache>
            </c:strRef>
          </c:cat>
          <c:val>
            <c:numRef>
              <c:f>Лист1!$B$2:$B$11</c:f>
              <c:numCache>
                <c:formatCode>_(* #,##0.00_);_(* \(#,##0.00\);_(* "-"??_);_(@_)</c:formatCode>
                <c:ptCount val="10"/>
                <c:pt idx="0">
                  <c:v>1149.2139999999999</c:v>
                </c:pt>
                <c:pt idx="1">
                  <c:v>20.041</c:v>
                </c:pt>
                <c:pt idx="2">
                  <c:v>60.521999999999998</c:v>
                </c:pt>
                <c:pt idx="3">
                  <c:v>2.1989999999999998</c:v>
                </c:pt>
                <c:pt idx="4">
                  <c:v>15.87</c:v>
                </c:pt>
                <c:pt idx="5">
                  <c:v>2002.3019999999999</c:v>
                </c:pt>
                <c:pt idx="6">
                  <c:v>110.24299999999999</c:v>
                </c:pt>
                <c:pt idx="7">
                  <c:v>1.649</c:v>
                </c:pt>
                <c:pt idx="8">
                  <c:v>124.07</c:v>
                </c:pt>
                <c:pt idx="9">
                  <c:v>72.97</c:v>
                </c:pt>
              </c:numCache>
            </c:numRef>
          </c:val>
          <c:extLst>
            <c:ext xmlns:c16="http://schemas.microsoft.com/office/drawing/2014/chart" uri="{C3380CC4-5D6E-409C-BE32-E72D297353CC}">
              <c16:uniqueId val="{00000000-3D3A-4146-A9A1-5B0E503FAC07}"/>
            </c:ext>
          </c:extLst>
        </c:ser>
        <c:dLbls>
          <c:dLblPos val="inEnd"/>
          <c:showLegendKey val="0"/>
          <c:showVal val="0"/>
          <c:showCatName val="0"/>
          <c:showSerName val="0"/>
          <c:showPercent val="1"/>
          <c:showBubbleSize val="0"/>
          <c:showLeaderLines val="1"/>
        </c:dLbls>
        <c:firstSliceAng val="122"/>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Сатыбалдина Лаура Кайратовна</dc:creator>
  <cp:keywords/>
  <dc:description/>
  <cp:lastModifiedBy>Беркімбаева Аружан Берікқызы</cp:lastModifiedBy>
  <cp:revision>20</cp:revision>
  <cp:lastPrinted>2021-06-10T06:44:00Z</cp:lastPrinted>
  <dcterms:created xsi:type="dcterms:W3CDTF">2025-06-05T08:27:00Z</dcterms:created>
  <dcterms:modified xsi:type="dcterms:W3CDTF">2025-06-11T08:53:00Z</dcterms:modified>
</cp:coreProperties>
</file>