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EDEB2" w14:textId="77777777" w:rsidR="009A60B0" w:rsidRDefault="009A60B0" w:rsidP="009A60B0">
      <w:pPr>
        <w:jc w:val="center"/>
        <w:rPr>
          <w:b/>
          <w:sz w:val="28"/>
          <w:szCs w:val="28"/>
          <w:lang w:val="en-US"/>
        </w:rPr>
      </w:pPr>
      <w:r w:rsidRPr="009A60B0">
        <w:rPr>
          <w:b/>
          <w:sz w:val="28"/>
          <w:szCs w:val="28"/>
          <w:lang w:val="en-US"/>
        </w:rPr>
        <w:t>Information</w:t>
      </w:r>
      <w:r>
        <w:rPr>
          <w:b/>
          <w:sz w:val="28"/>
          <w:szCs w:val="28"/>
          <w:lang w:val="en-US"/>
        </w:rPr>
        <w:t xml:space="preserve"> </w:t>
      </w:r>
      <w:r w:rsidRPr="009A60B0">
        <w:rPr>
          <w:b/>
          <w:sz w:val="28"/>
          <w:szCs w:val="28"/>
          <w:lang w:val="en-US"/>
        </w:rPr>
        <w:t>on the results</w:t>
      </w:r>
    </w:p>
    <w:p w14:paraId="6F10F5A8" w14:textId="77777777" w:rsidR="009A60B0" w:rsidRDefault="009A60B0" w:rsidP="009A60B0">
      <w:pPr>
        <w:jc w:val="center"/>
        <w:rPr>
          <w:b/>
          <w:sz w:val="28"/>
          <w:szCs w:val="28"/>
          <w:lang w:val="en-US"/>
        </w:rPr>
      </w:pPr>
      <w:r w:rsidRPr="009A60B0">
        <w:rPr>
          <w:b/>
          <w:sz w:val="28"/>
          <w:szCs w:val="28"/>
          <w:lang w:val="en-US"/>
        </w:rPr>
        <w:t xml:space="preserve"> of the financial and</w:t>
      </w:r>
      <w:r>
        <w:rPr>
          <w:b/>
          <w:sz w:val="28"/>
          <w:szCs w:val="28"/>
          <w:lang w:val="en-US"/>
        </w:rPr>
        <w:t xml:space="preserve"> economic activities </w:t>
      </w:r>
    </w:p>
    <w:p w14:paraId="77968559" w14:textId="09C362D0" w:rsidR="00CA643D" w:rsidRDefault="009A60B0" w:rsidP="009A60B0">
      <w:pPr>
        <w:jc w:val="center"/>
        <w:rPr>
          <w:b/>
          <w:sz w:val="28"/>
          <w:szCs w:val="28"/>
          <w:lang w:val="en-US"/>
        </w:rPr>
      </w:pPr>
      <w:r>
        <w:rPr>
          <w:b/>
          <w:sz w:val="28"/>
          <w:szCs w:val="28"/>
          <w:lang w:val="en-US"/>
        </w:rPr>
        <w:t xml:space="preserve">of the RSE </w:t>
      </w:r>
      <w:r w:rsidR="00FC5C0B">
        <w:rPr>
          <w:b/>
          <w:sz w:val="28"/>
          <w:szCs w:val="28"/>
          <w:lang w:val="en-US"/>
        </w:rPr>
        <w:t>«NIIP»</w:t>
      </w:r>
      <w:r>
        <w:rPr>
          <w:b/>
          <w:sz w:val="28"/>
          <w:szCs w:val="28"/>
          <w:lang w:val="en-US"/>
        </w:rPr>
        <w:t xml:space="preserve"> </w:t>
      </w:r>
      <w:r w:rsidRPr="009A60B0">
        <w:rPr>
          <w:b/>
          <w:sz w:val="28"/>
          <w:szCs w:val="28"/>
          <w:lang w:val="en-US"/>
        </w:rPr>
        <w:t>for 202</w:t>
      </w:r>
      <w:r>
        <w:rPr>
          <w:b/>
          <w:sz w:val="28"/>
          <w:szCs w:val="28"/>
          <w:lang w:val="en-US"/>
        </w:rPr>
        <w:t>5</w:t>
      </w:r>
    </w:p>
    <w:p w14:paraId="20826D41" w14:textId="77777777" w:rsidR="009A60B0" w:rsidRPr="009A60B0" w:rsidRDefault="009A60B0" w:rsidP="009A60B0">
      <w:pPr>
        <w:jc w:val="center"/>
        <w:rPr>
          <w:b/>
          <w:sz w:val="28"/>
          <w:szCs w:val="28"/>
          <w:lang w:val="en-US"/>
        </w:rPr>
      </w:pPr>
    </w:p>
    <w:p w14:paraId="1B629635" w14:textId="480CF310" w:rsidR="00106ABC" w:rsidRDefault="00106ABC" w:rsidP="005A137C">
      <w:pPr>
        <w:ind w:firstLine="708"/>
        <w:jc w:val="both"/>
        <w:rPr>
          <w:sz w:val="28"/>
          <w:szCs w:val="28"/>
          <w:lang w:val="en-US"/>
        </w:rPr>
      </w:pPr>
      <w:r w:rsidRPr="00106ABC">
        <w:rPr>
          <w:sz w:val="28"/>
          <w:szCs w:val="28"/>
          <w:lang w:val="en-US"/>
        </w:rPr>
        <w:t xml:space="preserve">The RSE on the Right of Economic Management “National Institute of Intellectual Property” of the Committee on Intellectual Property Rights of the Ministry of Justice of the Republic of Kazakhstan (hereinafter – the </w:t>
      </w:r>
      <w:r w:rsidR="00FC5C0B">
        <w:rPr>
          <w:sz w:val="28"/>
          <w:szCs w:val="28"/>
          <w:lang w:val="en-US"/>
        </w:rPr>
        <w:t>«</w:t>
      </w:r>
      <w:r w:rsidRPr="00106ABC">
        <w:rPr>
          <w:sz w:val="28"/>
          <w:szCs w:val="28"/>
          <w:lang w:val="en-US"/>
        </w:rPr>
        <w:t>NIIP</w:t>
      </w:r>
      <w:r w:rsidR="00FC5C0B">
        <w:rPr>
          <w:sz w:val="28"/>
          <w:szCs w:val="28"/>
          <w:lang w:val="en-US"/>
        </w:rPr>
        <w:t>»</w:t>
      </w:r>
      <w:r>
        <w:rPr>
          <w:sz w:val="28"/>
          <w:szCs w:val="28"/>
          <w:lang w:val="en-US"/>
        </w:rPr>
        <w:t xml:space="preserve"> RSE</w:t>
      </w:r>
      <w:r w:rsidRPr="00106ABC">
        <w:rPr>
          <w:sz w:val="28"/>
          <w:szCs w:val="28"/>
          <w:lang w:val="en-US"/>
        </w:rPr>
        <w:t>) is a subordinate organization of the Committee on Intellectual Property Rights of the Ministry of Justice of the Republic of Kazakhstan.</w:t>
      </w:r>
    </w:p>
    <w:p w14:paraId="1B661513" w14:textId="4FEAF3F7" w:rsidR="005A137C" w:rsidRPr="00106ABC" w:rsidRDefault="00106ABC" w:rsidP="005A137C">
      <w:pPr>
        <w:ind w:firstLine="708"/>
        <w:jc w:val="both"/>
        <w:rPr>
          <w:sz w:val="28"/>
          <w:szCs w:val="28"/>
          <w:lang w:val="en-US"/>
        </w:rPr>
      </w:pPr>
      <w:r w:rsidRPr="00106ABC">
        <w:rPr>
          <w:sz w:val="28"/>
          <w:szCs w:val="28"/>
          <w:lang w:val="en-US"/>
        </w:rPr>
        <w:t xml:space="preserve">The activities of the </w:t>
      </w:r>
      <w:r>
        <w:rPr>
          <w:sz w:val="28"/>
          <w:szCs w:val="28"/>
          <w:lang w:val="kk-KZ"/>
        </w:rPr>
        <w:t>«</w:t>
      </w:r>
      <w:r w:rsidRPr="00106ABC">
        <w:rPr>
          <w:sz w:val="28"/>
          <w:szCs w:val="28"/>
          <w:lang w:val="en-US"/>
        </w:rPr>
        <w:t>NIIP</w:t>
      </w:r>
      <w:r>
        <w:rPr>
          <w:sz w:val="28"/>
          <w:szCs w:val="28"/>
          <w:lang w:val="kk-KZ"/>
        </w:rPr>
        <w:t>»</w:t>
      </w:r>
      <w:r w:rsidRPr="00106ABC">
        <w:rPr>
          <w:sz w:val="28"/>
          <w:szCs w:val="28"/>
          <w:lang w:val="en-US"/>
        </w:rPr>
        <w:t xml:space="preserve"> RSE are financed in accordance with its Development Plan from its own revenues without the</w:t>
      </w:r>
      <w:r>
        <w:rPr>
          <w:sz w:val="28"/>
          <w:szCs w:val="28"/>
          <w:lang w:val="en-US"/>
        </w:rPr>
        <w:t xml:space="preserve"> involvement of budgetary funds</w:t>
      </w:r>
      <w:r w:rsidR="005A137C" w:rsidRPr="00106ABC">
        <w:rPr>
          <w:sz w:val="28"/>
          <w:szCs w:val="28"/>
          <w:lang w:val="en-US"/>
        </w:rPr>
        <w:t xml:space="preserve">. </w:t>
      </w:r>
    </w:p>
    <w:p w14:paraId="36432A4F" w14:textId="0AE77A70" w:rsidR="005A137C" w:rsidRPr="00106ABC" w:rsidRDefault="00106ABC" w:rsidP="005A137C">
      <w:pPr>
        <w:ind w:firstLine="708"/>
        <w:jc w:val="both"/>
        <w:rPr>
          <w:sz w:val="28"/>
          <w:szCs w:val="28"/>
          <w:lang w:val="en-US"/>
        </w:rPr>
      </w:pPr>
      <w:r w:rsidRPr="00106ABC">
        <w:rPr>
          <w:sz w:val="28"/>
          <w:szCs w:val="28"/>
          <w:lang w:val="en-US"/>
        </w:rPr>
        <w:t xml:space="preserve">The purpose of the </w:t>
      </w:r>
      <w:r>
        <w:rPr>
          <w:sz w:val="28"/>
          <w:szCs w:val="28"/>
          <w:lang w:val="kk-KZ"/>
        </w:rPr>
        <w:t>«</w:t>
      </w:r>
      <w:r w:rsidRPr="00106ABC">
        <w:rPr>
          <w:sz w:val="28"/>
          <w:szCs w:val="28"/>
          <w:lang w:val="en-US"/>
        </w:rPr>
        <w:t>NIIP</w:t>
      </w:r>
      <w:r>
        <w:rPr>
          <w:sz w:val="28"/>
          <w:szCs w:val="28"/>
          <w:lang w:val="kk-KZ"/>
        </w:rPr>
        <w:t>»</w:t>
      </w:r>
      <w:r w:rsidRPr="00106ABC">
        <w:rPr>
          <w:sz w:val="28"/>
          <w:szCs w:val="28"/>
          <w:lang w:val="en-US"/>
        </w:rPr>
        <w:t xml:space="preserve"> RSE is to provide expert services to individuals and legal entities in the field of protection of intellectual property rights, including trademarks, geographical indications, inventions, breeding achievements, copyright, agreements on the disposal of exclusive rights, maintenance of intellectual property titles in force, and the provision of public services in the field of intellectual property, including:</w:t>
      </w:r>
    </w:p>
    <w:p w14:paraId="0E92BE60"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1. Recording information and amendments thereto in the State Register of Rights to Copyright-Protected Objects;</w:t>
      </w:r>
    </w:p>
    <w:p w14:paraId="2E9E2F9C"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2. Registration of the granting of the right to use a trademark, a breeding achievement, an industrial property object, and an integrated circuit topology;</w:t>
      </w:r>
    </w:p>
    <w:p w14:paraId="05953922"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3. Registration of the assignment (transfer) of exclusive rights to a trademark, a breeding achievement, an industrial property object, and an integrated circuit topology;</w:t>
      </w:r>
    </w:p>
    <w:p w14:paraId="48BD8F70"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4. Registration of trademarks;</w:t>
      </w:r>
    </w:p>
    <w:p w14:paraId="2B349D78"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5. Registration of the right to use an appellation of origin;</w:t>
      </w:r>
    </w:p>
    <w:p w14:paraId="1C89E002"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6. Registration of the right to use a geographical indication;</w:t>
      </w:r>
    </w:p>
    <w:p w14:paraId="70637747"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7. Issuance of industrial property titles of protection;</w:t>
      </w:r>
    </w:p>
    <w:p w14:paraId="32E3D4BB"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8. Registration of integrated circuit topologies;</w:t>
      </w:r>
    </w:p>
    <w:p w14:paraId="33BAB696" w14:textId="77777777" w:rsidR="00106ABC" w:rsidRPr="00106ABC" w:rsidRDefault="00106ABC" w:rsidP="00106ABC">
      <w:pPr>
        <w:ind w:firstLine="708"/>
        <w:jc w:val="both"/>
        <w:rPr>
          <w:rFonts w:eastAsia="Calibri"/>
          <w:color w:val="000000"/>
          <w:sz w:val="28"/>
          <w:szCs w:val="28"/>
          <w:lang w:val="en-US" w:eastAsia="en-US"/>
        </w:rPr>
      </w:pPr>
      <w:r w:rsidRPr="00106ABC">
        <w:rPr>
          <w:rFonts w:eastAsia="Calibri"/>
          <w:color w:val="000000"/>
          <w:sz w:val="28"/>
          <w:szCs w:val="28"/>
          <w:lang w:val="en-US" w:eastAsia="en-US"/>
        </w:rPr>
        <w:t>9. Issuance of a title of protection for a breeding achievement.</w:t>
      </w:r>
    </w:p>
    <w:p w14:paraId="70EE8BA2" w14:textId="77777777" w:rsidR="00106ABC" w:rsidRDefault="00106ABC" w:rsidP="00106ABC">
      <w:pPr>
        <w:ind w:firstLine="708"/>
        <w:jc w:val="both"/>
        <w:rPr>
          <w:rFonts w:eastAsia="Calibri"/>
          <w:color w:val="000000"/>
          <w:sz w:val="28"/>
          <w:szCs w:val="28"/>
          <w:lang w:val="en-US" w:eastAsia="en-US"/>
        </w:rPr>
      </w:pPr>
    </w:p>
    <w:p w14:paraId="63A2B95E" w14:textId="66754F70" w:rsidR="005A137C" w:rsidRPr="00106ABC" w:rsidRDefault="00106ABC" w:rsidP="00106ABC">
      <w:pPr>
        <w:ind w:firstLine="708"/>
        <w:jc w:val="both"/>
        <w:rPr>
          <w:sz w:val="28"/>
          <w:szCs w:val="28"/>
          <w:lang w:val="en-US"/>
        </w:rPr>
      </w:pPr>
      <w:r w:rsidRPr="00106ABC">
        <w:rPr>
          <w:sz w:val="28"/>
          <w:szCs w:val="28"/>
          <w:lang w:val="en-US"/>
        </w:rPr>
        <w:t xml:space="preserve">The </w:t>
      </w:r>
      <w:r>
        <w:rPr>
          <w:sz w:val="28"/>
          <w:szCs w:val="28"/>
          <w:lang w:val="kk-KZ"/>
        </w:rPr>
        <w:t>«</w:t>
      </w:r>
      <w:r w:rsidRPr="00106ABC">
        <w:rPr>
          <w:sz w:val="28"/>
          <w:szCs w:val="28"/>
          <w:lang w:val="en-US"/>
        </w:rPr>
        <w:t>NIIP</w:t>
      </w:r>
      <w:r>
        <w:rPr>
          <w:sz w:val="28"/>
          <w:szCs w:val="28"/>
          <w:lang w:val="kk-KZ"/>
        </w:rPr>
        <w:t>»</w:t>
      </w:r>
      <w:r w:rsidRPr="00106ABC">
        <w:rPr>
          <w:sz w:val="28"/>
          <w:szCs w:val="28"/>
          <w:lang w:val="en-US"/>
        </w:rPr>
        <w:t xml:space="preserve"> RSE transfers a portion of its net income to the republican budget in accordance with the Budget Cod</w:t>
      </w:r>
      <w:r>
        <w:rPr>
          <w:sz w:val="28"/>
          <w:szCs w:val="28"/>
          <w:lang w:val="en-US"/>
        </w:rPr>
        <w:t>e of the Republic of Kazakhstan</w:t>
      </w:r>
      <w:r w:rsidR="005A137C" w:rsidRPr="00106ABC">
        <w:rPr>
          <w:sz w:val="28"/>
          <w:szCs w:val="28"/>
          <w:lang w:val="en-US"/>
        </w:rPr>
        <w:t>.</w:t>
      </w:r>
    </w:p>
    <w:p w14:paraId="74AE3F5C" w14:textId="414DF444" w:rsidR="005A137C" w:rsidRPr="00FC5C0B" w:rsidRDefault="00FC5C0B" w:rsidP="005A137C">
      <w:pPr>
        <w:ind w:firstLine="708"/>
        <w:jc w:val="both"/>
        <w:rPr>
          <w:sz w:val="28"/>
          <w:szCs w:val="28"/>
          <w:lang w:val="en-US"/>
        </w:rPr>
      </w:pPr>
      <w:r w:rsidRPr="00FC5C0B">
        <w:rPr>
          <w:sz w:val="28"/>
          <w:szCs w:val="28"/>
          <w:lang w:val="en-US"/>
        </w:rPr>
        <w:t xml:space="preserve">Accounting and preparation of financial statements at the </w:t>
      </w:r>
      <w:r>
        <w:rPr>
          <w:sz w:val="28"/>
          <w:szCs w:val="28"/>
          <w:lang w:val="en-US"/>
        </w:rPr>
        <w:t>«</w:t>
      </w:r>
      <w:r w:rsidRPr="00FC5C0B">
        <w:rPr>
          <w:sz w:val="28"/>
          <w:szCs w:val="28"/>
          <w:lang w:val="en-US"/>
        </w:rPr>
        <w:t>NIIP</w:t>
      </w:r>
      <w:r>
        <w:rPr>
          <w:sz w:val="28"/>
          <w:szCs w:val="28"/>
          <w:lang w:val="en-US"/>
        </w:rPr>
        <w:t>»</w:t>
      </w:r>
      <w:r w:rsidRPr="00FC5C0B">
        <w:rPr>
          <w:sz w:val="28"/>
          <w:szCs w:val="28"/>
          <w:lang w:val="en-US"/>
        </w:rPr>
        <w:t xml:space="preserve"> RSE are carried out in accordance with the legislation of the Republic of Kazakhstan on accounting and financial reporting, as well as the accounting policy approved by the Director of the </w:t>
      </w:r>
      <w:r>
        <w:rPr>
          <w:sz w:val="28"/>
          <w:szCs w:val="28"/>
          <w:lang w:val="en-US"/>
        </w:rPr>
        <w:t>«</w:t>
      </w:r>
      <w:r w:rsidRPr="00FC5C0B">
        <w:rPr>
          <w:sz w:val="28"/>
          <w:szCs w:val="28"/>
          <w:lang w:val="en-US"/>
        </w:rPr>
        <w:t>NIIP</w:t>
      </w:r>
      <w:r>
        <w:rPr>
          <w:sz w:val="28"/>
          <w:szCs w:val="28"/>
          <w:lang w:val="en-US"/>
        </w:rPr>
        <w:t>»</w:t>
      </w:r>
      <w:r w:rsidRPr="00FC5C0B">
        <w:rPr>
          <w:sz w:val="28"/>
          <w:szCs w:val="28"/>
          <w:lang w:val="en-US"/>
        </w:rPr>
        <w:t xml:space="preserve"> RSE in coordination with the authorized body of the relevant sector and in compliance with International Finan</w:t>
      </w:r>
      <w:r>
        <w:rPr>
          <w:sz w:val="28"/>
          <w:szCs w:val="28"/>
          <w:lang w:val="en-US"/>
        </w:rPr>
        <w:t>cial Reporting Standards (IFRS)</w:t>
      </w:r>
      <w:r w:rsidR="005A137C" w:rsidRPr="00FC5C0B">
        <w:rPr>
          <w:sz w:val="28"/>
          <w:szCs w:val="28"/>
          <w:lang w:val="en-US"/>
        </w:rPr>
        <w:t xml:space="preserve">. </w:t>
      </w:r>
    </w:p>
    <w:p w14:paraId="20516C97" w14:textId="3A66ABC9" w:rsidR="00FC5C0B" w:rsidRPr="00FC5C0B" w:rsidRDefault="00FC5C0B" w:rsidP="001E137C">
      <w:pPr>
        <w:tabs>
          <w:tab w:val="left" w:pos="4530"/>
        </w:tabs>
        <w:ind w:firstLine="708"/>
        <w:jc w:val="both"/>
        <w:rPr>
          <w:sz w:val="28"/>
          <w:szCs w:val="28"/>
          <w:lang w:val="en-US"/>
        </w:rPr>
      </w:pPr>
      <w:r w:rsidRPr="00FC5C0B">
        <w:rPr>
          <w:sz w:val="28"/>
          <w:szCs w:val="28"/>
          <w:lang w:val="en-US"/>
        </w:rPr>
        <w:t xml:space="preserve">As a result of 2025, the </w:t>
      </w:r>
      <w:r>
        <w:rPr>
          <w:sz w:val="28"/>
          <w:szCs w:val="28"/>
          <w:lang w:val="en-US"/>
        </w:rPr>
        <w:t>«</w:t>
      </w:r>
      <w:r w:rsidRPr="00FC5C0B">
        <w:rPr>
          <w:sz w:val="28"/>
          <w:szCs w:val="28"/>
          <w:lang w:val="en-US"/>
        </w:rPr>
        <w:t>NIIP</w:t>
      </w:r>
      <w:r>
        <w:rPr>
          <w:sz w:val="28"/>
          <w:szCs w:val="28"/>
          <w:lang w:val="en-US"/>
        </w:rPr>
        <w:t>»</w:t>
      </w:r>
      <w:r w:rsidRPr="00FC5C0B">
        <w:rPr>
          <w:sz w:val="28"/>
          <w:szCs w:val="28"/>
          <w:lang w:val="en-US"/>
        </w:rPr>
        <w:t xml:space="preserve"> RSE generated revenues amounting to </w:t>
      </w:r>
      <w:r w:rsidRPr="00FC5C0B">
        <w:rPr>
          <w:b/>
          <w:sz w:val="28"/>
          <w:szCs w:val="28"/>
          <w:lang w:val="en-US"/>
        </w:rPr>
        <w:t>KZT</w:t>
      </w:r>
      <w:r w:rsidRPr="00FC5C0B">
        <w:rPr>
          <w:sz w:val="28"/>
          <w:szCs w:val="28"/>
          <w:lang w:val="en-US"/>
        </w:rPr>
        <w:t xml:space="preserve"> </w:t>
      </w:r>
      <w:r w:rsidRPr="00FC5C0B">
        <w:rPr>
          <w:b/>
          <w:sz w:val="28"/>
          <w:szCs w:val="28"/>
          <w:lang w:val="en-US"/>
        </w:rPr>
        <w:t>5,952.8 million</w:t>
      </w:r>
      <w:r w:rsidRPr="00FC5C0B">
        <w:rPr>
          <w:sz w:val="28"/>
          <w:szCs w:val="28"/>
          <w:lang w:val="en-US"/>
        </w:rPr>
        <w:t xml:space="preserve"> from the provision of services stipulated by the Charter of the enterprise, including expert services provided to individuals and legal entities in the field of protection of intellectual property rights, such as trademarks, inventions, breeding achievements, copyright, agreements on the disposal of exclusive rights, </w:t>
      </w:r>
      <w:r w:rsidRPr="00FC5C0B">
        <w:rPr>
          <w:sz w:val="28"/>
          <w:szCs w:val="28"/>
          <w:lang w:val="en-US"/>
        </w:rPr>
        <w:lastRenderedPageBreak/>
        <w:t>maintenance of intellectual property titles in force, the above-mentioned public services, and other services.</w:t>
      </w:r>
    </w:p>
    <w:p w14:paraId="5BC1A20F" w14:textId="47BF0C5F" w:rsidR="005A137C" w:rsidRDefault="00FC5C0B" w:rsidP="001E137C">
      <w:pPr>
        <w:tabs>
          <w:tab w:val="left" w:pos="4530"/>
        </w:tabs>
        <w:ind w:firstLine="708"/>
        <w:jc w:val="both"/>
        <w:rPr>
          <w:sz w:val="28"/>
          <w:szCs w:val="28"/>
          <w:lang w:val="kk-KZ"/>
        </w:rPr>
      </w:pPr>
      <w:r w:rsidRPr="00FC5C0B">
        <w:rPr>
          <w:sz w:val="28"/>
          <w:szCs w:val="28"/>
          <w:lang w:val="kk-KZ"/>
        </w:rPr>
        <w:t xml:space="preserve">In addition, since 7 July 2025, pursuant to Article 8(7)(a) of the Madrid Protocol (1989), the </w:t>
      </w:r>
      <w:r>
        <w:rPr>
          <w:sz w:val="28"/>
          <w:szCs w:val="28"/>
          <w:lang w:val="en-US"/>
        </w:rPr>
        <w:t>«</w:t>
      </w:r>
      <w:r w:rsidRPr="00FC5C0B">
        <w:rPr>
          <w:sz w:val="28"/>
          <w:szCs w:val="28"/>
          <w:lang w:val="kk-KZ"/>
        </w:rPr>
        <w:t>NIIP</w:t>
      </w:r>
      <w:r>
        <w:rPr>
          <w:sz w:val="28"/>
          <w:szCs w:val="28"/>
          <w:lang w:val="en-US"/>
        </w:rPr>
        <w:t>»</w:t>
      </w:r>
      <w:r w:rsidRPr="00FC5C0B">
        <w:rPr>
          <w:sz w:val="28"/>
          <w:szCs w:val="28"/>
          <w:lang w:val="kk-KZ"/>
        </w:rPr>
        <w:t xml:space="preserve"> RSE, acting as the Patent Office of the Republic of Kazakhstan, has been receiving individual fees as well as a share of international fees under the Madrid System </w:t>
      </w:r>
      <w:r w:rsidRPr="00FC5C0B">
        <w:rPr>
          <w:i/>
          <w:szCs w:val="28"/>
          <w:lang w:val="kk-KZ"/>
        </w:rPr>
        <w:t xml:space="preserve">(following Decision No. 3 of the Republican Budget Commission dated 25 February 2025, which approved the proposal of the Ministry of Justice to abolish Budget Classification Code 206102 and to credit the corresponding funds to the revenues of the </w:t>
      </w:r>
      <w:r>
        <w:rPr>
          <w:i/>
          <w:szCs w:val="28"/>
          <w:lang w:val="en-US"/>
        </w:rPr>
        <w:t>«</w:t>
      </w:r>
      <w:r w:rsidRPr="00FC5C0B">
        <w:rPr>
          <w:i/>
          <w:szCs w:val="28"/>
          <w:lang w:val="kk-KZ"/>
        </w:rPr>
        <w:t>NIIP</w:t>
      </w:r>
      <w:r>
        <w:rPr>
          <w:i/>
          <w:szCs w:val="28"/>
          <w:lang w:val="en-US"/>
        </w:rPr>
        <w:t>»</w:t>
      </w:r>
      <w:r w:rsidRPr="00FC5C0B">
        <w:rPr>
          <w:i/>
          <w:szCs w:val="28"/>
          <w:lang w:val="kk-KZ"/>
        </w:rPr>
        <w:t xml:space="preserve"> RSE).</w:t>
      </w:r>
      <w:r w:rsidR="00136F02" w:rsidRPr="00FC5C0B">
        <w:rPr>
          <w:lang w:val="en-US"/>
        </w:rPr>
        <w:t xml:space="preserve"> </w:t>
      </w:r>
    </w:p>
    <w:p w14:paraId="2E72FA2F" w14:textId="77777777" w:rsidR="00B82A5D" w:rsidRDefault="00B82A5D" w:rsidP="00FF6910">
      <w:pPr>
        <w:tabs>
          <w:tab w:val="left" w:pos="4530"/>
        </w:tabs>
        <w:ind w:firstLine="708"/>
        <w:jc w:val="both"/>
        <w:rPr>
          <w:sz w:val="28"/>
          <w:szCs w:val="28"/>
          <w:lang w:val="kk-KZ"/>
        </w:rPr>
      </w:pPr>
    </w:p>
    <w:p w14:paraId="0BF4A3A9" w14:textId="77777777" w:rsidR="00B82A5D" w:rsidRDefault="00B82A5D" w:rsidP="00A23A84">
      <w:pPr>
        <w:tabs>
          <w:tab w:val="left" w:pos="4530"/>
        </w:tabs>
        <w:jc w:val="both"/>
        <w:rPr>
          <w:sz w:val="28"/>
          <w:szCs w:val="28"/>
          <w:lang w:val="kk-KZ"/>
        </w:rPr>
      </w:pPr>
      <w:r>
        <w:rPr>
          <w:noProof/>
          <w:sz w:val="28"/>
          <w:szCs w:val="28"/>
        </w:rPr>
        <w:drawing>
          <wp:inline distT="0" distB="0" distL="0" distR="0" wp14:anchorId="339FF8AF" wp14:editId="1A8C2EE2">
            <wp:extent cx="6000750" cy="37719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3741EB" w14:textId="77777777" w:rsidR="00B82A5D" w:rsidRDefault="00B82A5D" w:rsidP="00FF6910">
      <w:pPr>
        <w:tabs>
          <w:tab w:val="left" w:pos="4530"/>
        </w:tabs>
        <w:ind w:firstLine="708"/>
        <w:jc w:val="both"/>
        <w:rPr>
          <w:sz w:val="28"/>
          <w:szCs w:val="28"/>
          <w:lang w:val="kk-KZ"/>
        </w:rPr>
      </w:pPr>
    </w:p>
    <w:p w14:paraId="39E89EB3" w14:textId="77777777" w:rsidR="00B82A5D" w:rsidRDefault="00B82A5D" w:rsidP="00FF6910">
      <w:pPr>
        <w:tabs>
          <w:tab w:val="left" w:pos="4530"/>
        </w:tabs>
        <w:ind w:firstLine="708"/>
        <w:jc w:val="both"/>
        <w:rPr>
          <w:sz w:val="28"/>
          <w:szCs w:val="28"/>
          <w:lang w:val="kk-KZ"/>
        </w:rPr>
      </w:pPr>
    </w:p>
    <w:p w14:paraId="4B7F1EDF" w14:textId="4E7EF374" w:rsidR="00FC5C0B" w:rsidRPr="00FC5C0B" w:rsidRDefault="00FC5C0B" w:rsidP="00FC5C0B">
      <w:pPr>
        <w:ind w:firstLine="708"/>
        <w:jc w:val="both"/>
        <w:rPr>
          <w:sz w:val="28"/>
          <w:szCs w:val="28"/>
          <w:lang w:val="en-US"/>
        </w:rPr>
      </w:pPr>
      <w:r w:rsidRPr="00FC5C0B">
        <w:rPr>
          <w:sz w:val="28"/>
          <w:szCs w:val="28"/>
          <w:lang w:val="en-US"/>
        </w:rPr>
        <w:t xml:space="preserve">Expenditures for 2025 amounted to </w:t>
      </w:r>
      <w:r w:rsidRPr="00FC5C0B">
        <w:rPr>
          <w:b/>
          <w:sz w:val="28"/>
          <w:szCs w:val="28"/>
          <w:lang w:val="en-US"/>
        </w:rPr>
        <w:t>KZT</w:t>
      </w:r>
      <w:r w:rsidRPr="00FC5C0B">
        <w:rPr>
          <w:sz w:val="28"/>
          <w:szCs w:val="28"/>
          <w:lang w:val="en-US"/>
        </w:rPr>
        <w:t xml:space="preserve"> </w:t>
      </w:r>
      <w:r w:rsidRPr="00FC5C0B">
        <w:rPr>
          <w:b/>
          <w:sz w:val="28"/>
          <w:szCs w:val="28"/>
          <w:lang w:val="en-US"/>
        </w:rPr>
        <w:t>4,355.31 million</w:t>
      </w:r>
      <w:r w:rsidRPr="00FC5C0B">
        <w:rPr>
          <w:sz w:val="28"/>
          <w:szCs w:val="28"/>
          <w:lang w:val="en-US"/>
        </w:rPr>
        <w:t xml:space="preserve"> and were directed towards the implementation of the statutory activities of the </w:t>
      </w:r>
      <w:r>
        <w:rPr>
          <w:sz w:val="28"/>
          <w:szCs w:val="28"/>
          <w:lang w:val="en-US"/>
        </w:rPr>
        <w:t>«</w:t>
      </w:r>
      <w:r w:rsidRPr="00FC5C0B">
        <w:rPr>
          <w:sz w:val="28"/>
          <w:szCs w:val="28"/>
          <w:lang w:val="en-US"/>
        </w:rPr>
        <w:t>NIIP</w:t>
      </w:r>
      <w:r>
        <w:rPr>
          <w:sz w:val="28"/>
          <w:szCs w:val="28"/>
          <w:lang w:val="en-US"/>
        </w:rPr>
        <w:t>»</w:t>
      </w:r>
      <w:bookmarkStart w:id="0" w:name="_GoBack"/>
      <w:bookmarkEnd w:id="0"/>
      <w:r w:rsidRPr="00FC5C0B">
        <w:rPr>
          <w:sz w:val="28"/>
          <w:szCs w:val="28"/>
          <w:lang w:val="en-US"/>
        </w:rPr>
        <w:t xml:space="preserve"> RSE and the achievement of its </w:t>
      </w:r>
      <w:r>
        <w:rPr>
          <w:sz w:val="28"/>
          <w:szCs w:val="28"/>
          <w:lang w:val="en-US"/>
        </w:rPr>
        <w:t>strategic goals and objectives.</w:t>
      </w:r>
    </w:p>
    <w:p w14:paraId="737D93E7" w14:textId="66D038C9" w:rsidR="00606F06" w:rsidRPr="00FC5C0B" w:rsidRDefault="00FC5C0B" w:rsidP="00FC5C0B">
      <w:pPr>
        <w:ind w:firstLine="708"/>
        <w:jc w:val="both"/>
        <w:rPr>
          <w:sz w:val="28"/>
          <w:szCs w:val="28"/>
          <w:lang w:val="en-US"/>
        </w:rPr>
      </w:pPr>
      <w:r w:rsidRPr="00FC5C0B">
        <w:rPr>
          <w:sz w:val="28"/>
          <w:szCs w:val="28"/>
          <w:lang w:val="en-US"/>
        </w:rPr>
        <w:t xml:space="preserve">At the end of the financial year, 50% of the net profit, amounting </w:t>
      </w:r>
      <w:r w:rsidRPr="00FC5C0B">
        <w:rPr>
          <w:b/>
          <w:sz w:val="28"/>
          <w:szCs w:val="28"/>
          <w:lang w:val="en-US"/>
        </w:rPr>
        <w:t>to KZT 867.07 million</w:t>
      </w:r>
      <w:r w:rsidRPr="00FC5C0B">
        <w:rPr>
          <w:sz w:val="28"/>
          <w:szCs w:val="28"/>
          <w:lang w:val="en-US"/>
        </w:rPr>
        <w:t>, was transferred to the state budget.</w:t>
      </w:r>
    </w:p>
    <w:sectPr w:rsidR="00606F06" w:rsidRPr="00FC5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A77"/>
    <w:multiLevelType w:val="hybridMultilevel"/>
    <w:tmpl w:val="5964A5E2"/>
    <w:lvl w:ilvl="0" w:tplc="96223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03111F6"/>
    <w:multiLevelType w:val="hybridMultilevel"/>
    <w:tmpl w:val="0AAA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3D"/>
    <w:rsid w:val="000348E5"/>
    <w:rsid w:val="00035161"/>
    <w:rsid w:val="00055F6B"/>
    <w:rsid w:val="000610CF"/>
    <w:rsid w:val="000B55D5"/>
    <w:rsid w:val="000F5EB2"/>
    <w:rsid w:val="00106ABC"/>
    <w:rsid w:val="00107537"/>
    <w:rsid w:val="001138F0"/>
    <w:rsid w:val="00132792"/>
    <w:rsid w:val="00136F02"/>
    <w:rsid w:val="00137B4B"/>
    <w:rsid w:val="00137B8D"/>
    <w:rsid w:val="001476E9"/>
    <w:rsid w:val="00173A9D"/>
    <w:rsid w:val="00177216"/>
    <w:rsid w:val="00182118"/>
    <w:rsid w:val="00196983"/>
    <w:rsid w:val="001A4297"/>
    <w:rsid w:val="001C51AE"/>
    <w:rsid w:val="001C659F"/>
    <w:rsid w:val="001C6981"/>
    <w:rsid w:val="001D169D"/>
    <w:rsid w:val="001D632E"/>
    <w:rsid w:val="001E137C"/>
    <w:rsid w:val="001F671A"/>
    <w:rsid w:val="0020317E"/>
    <w:rsid w:val="002075BF"/>
    <w:rsid w:val="00207A7A"/>
    <w:rsid w:val="002111FE"/>
    <w:rsid w:val="002119DF"/>
    <w:rsid w:val="00243FE1"/>
    <w:rsid w:val="0024610A"/>
    <w:rsid w:val="002720C4"/>
    <w:rsid w:val="00276767"/>
    <w:rsid w:val="00276D8B"/>
    <w:rsid w:val="00293A94"/>
    <w:rsid w:val="002A188C"/>
    <w:rsid w:val="002B155A"/>
    <w:rsid w:val="002D3A8B"/>
    <w:rsid w:val="00300300"/>
    <w:rsid w:val="00306080"/>
    <w:rsid w:val="00312FD3"/>
    <w:rsid w:val="00330ED1"/>
    <w:rsid w:val="00331388"/>
    <w:rsid w:val="00361381"/>
    <w:rsid w:val="003809F1"/>
    <w:rsid w:val="003B0B23"/>
    <w:rsid w:val="003C230C"/>
    <w:rsid w:val="003D4E6B"/>
    <w:rsid w:val="003E4707"/>
    <w:rsid w:val="003F090F"/>
    <w:rsid w:val="004142C9"/>
    <w:rsid w:val="00416A3C"/>
    <w:rsid w:val="004173D5"/>
    <w:rsid w:val="00434681"/>
    <w:rsid w:val="00440BF8"/>
    <w:rsid w:val="004427EE"/>
    <w:rsid w:val="00455FE1"/>
    <w:rsid w:val="00477FA4"/>
    <w:rsid w:val="00486390"/>
    <w:rsid w:val="00496906"/>
    <w:rsid w:val="004E7423"/>
    <w:rsid w:val="004F241B"/>
    <w:rsid w:val="004F5608"/>
    <w:rsid w:val="0050022D"/>
    <w:rsid w:val="00502E98"/>
    <w:rsid w:val="00503C90"/>
    <w:rsid w:val="00505C77"/>
    <w:rsid w:val="00527110"/>
    <w:rsid w:val="00567EEF"/>
    <w:rsid w:val="005750A6"/>
    <w:rsid w:val="005775B4"/>
    <w:rsid w:val="00583E6A"/>
    <w:rsid w:val="005A137C"/>
    <w:rsid w:val="005A421B"/>
    <w:rsid w:val="005C405C"/>
    <w:rsid w:val="005E3A28"/>
    <w:rsid w:val="00606F06"/>
    <w:rsid w:val="00621955"/>
    <w:rsid w:val="00640DF4"/>
    <w:rsid w:val="00652FAD"/>
    <w:rsid w:val="00660C7A"/>
    <w:rsid w:val="00661FCC"/>
    <w:rsid w:val="006840A0"/>
    <w:rsid w:val="006861D3"/>
    <w:rsid w:val="00692E23"/>
    <w:rsid w:val="006A1E60"/>
    <w:rsid w:val="006B7716"/>
    <w:rsid w:val="006C09E2"/>
    <w:rsid w:val="006C6608"/>
    <w:rsid w:val="006C7B90"/>
    <w:rsid w:val="006D16A3"/>
    <w:rsid w:val="006E4C30"/>
    <w:rsid w:val="006E7E3D"/>
    <w:rsid w:val="007016E7"/>
    <w:rsid w:val="00711765"/>
    <w:rsid w:val="00752C24"/>
    <w:rsid w:val="00755555"/>
    <w:rsid w:val="00756068"/>
    <w:rsid w:val="00774754"/>
    <w:rsid w:val="00780092"/>
    <w:rsid w:val="007840F7"/>
    <w:rsid w:val="00786600"/>
    <w:rsid w:val="00787D1B"/>
    <w:rsid w:val="007A1FBC"/>
    <w:rsid w:val="007B5D8F"/>
    <w:rsid w:val="007C2C19"/>
    <w:rsid w:val="007C59B6"/>
    <w:rsid w:val="007F265D"/>
    <w:rsid w:val="007F5349"/>
    <w:rsid w:val="00813EBD"/>
    <w:rsid w:val="0086036E"/>
    <w:rsid w:val="00871972"/>
    <w:rsid w:val="008732F8"/>
    <w:rsid w:val="00876A9E"/>
    <w:rsid w:val="00894E12"/>
    <w:rsid w:val="008969ED"/>
    <w:rsid w:val="008C3940"/>
    <w:rsid w:val="008E03D3"/>
    <w:rsid w:val="008E1BAC"/>
    <w:rsid w:val="008E6626"/>
    <w:rsid w:val="008F26E8"/>
    <w:rsid w:val="008F64C1"/>
    <w:rsid w:val="008F7122"/>
    <w:rsid w:val="0090251D"/>
    <w:rsid w:val="00910FDE"/>
    <w:rsid w:val="0092353E"/>
    <w:rsid w:val="00933D1B"/>
    <w:rsid w:val="00941CB5"/>
    <w:rsid w:val="00945A24"/>
    <w:rsid w:val="00963808"/>
    <w:rsid w:val="00967622"/>
    <w:rsid w:val="00971175"/>
    <w:rsid w:val="009A60B0"/>
    <w:rsid w:val="009D26B8"/>
    <w:rsid w:val="00A06A15"/>
    <w:rsid w:val="00A23A84"/>
    <w:rsid w:val="00A3623D"/>
    <w:rsid w:val="00A537A2"/>
    <w:rsid w:val="00A53A1C"/>
    <w:rsid w:val="00A54EA2"/>
    <w:rsid w:val="00A5642B"/>
    <w:rsid w:val="00A6515F"/>
    <w:rsid w:val="00A66362"/>
    <w:rsid w:val="00A9039C"/>
    <w:rsid w:val="00AA3BA6"/>
    <w:rsid w:val="00AD5D11"/>
    <w:rsid w:val="00AE1490"/>
    <w:rsid w:val="00AE68F8"/>
    <w:rsid w:val="00AF088A"/>
    <w:rsid w:val="00AF1611"/>
    <w:rsid w:val="00B16362"/>
    <w:rsid w:val="00B342F6"/>
    <w:rsid w:val="00B50306"/>
    <w:rsid w:val="00B82A5D"/>
    <w:rsid w:val="00B87E4D"/>
    <w:rsid w:val="00BB0999"/>
    <w:rsid w:val="00BB1979"/>
    <w:rsid w:val="00BB279B"/>
    <w:rsid w:val="00BB355B"/>
    <w:rsid w:val="00BB3C71"/>
    <w:rsid w:val="00BE76BF"/>
    <w:rsid w:val="00BE7948"/>
    <w:rsid w:val="00BF1C84"/>
    <w:rsid w:val="00BF4609"/>
    <w:rsid w:val="00BF7A4E"/>
    <w:rsid w:val="00C152DF"/>
    <w:rsid w:val="00C26833"/>
    <w:rsid w:val="00C2774A"/>
    <w:rsid w:val="00C43676"/>
    <w:rsid w:val="00C74957"/>
    <w:rsid w:val="00C761DD"/>
    <w:rsid w:val="00CA4372"/>
    <w:rsid w:val="00CA643D"/>
    <w:rsid w:val="00CB266F"/>
    <w:rsid w:val="00CC4C32"/>
    <w:rsid w:val="00CE1E44"/>
    <w:rsid w:val="00CF0841"/>
    <w:rsid w:val="00CF49C9"/>
    <w:rsid w:val="00CF636B"/>
    <w:rsid w:val="00D10E14"/>
    <w:rsid w:val="00D12B00"/>
    <w:rsid w:val="00D26E68"/>
    <w:rsid w:val="00D41651"/>
    <w:rsid w:val="00D96904"/>
    <w:rsid w:val="00DB0590"/>
    <w:rsid w:val="00DF091E"/>
    <w:rsid w:val="00E04BDA"/>
    <w:rsid w:val="00E100C1"/>
    <w:rsid w:val="00E22863"/>
    <w:rsid w:val="00E23029"/>
    <w:rsid w:val="00E30A92"/>
    <w:rsid w:val="00E36756"/>
    <w:rsid w:val="00E607D4"/>
    <w:rsid w:val="00E7291A"/>
    <w:rsid w:val="00E87186"/>
    <w:rsid w:val="00EB6758"/>
    <w:rsid w:val="00EC1603"/>
    <w:rsid w:val="00EF02FD"/>
    <w:rsid w:val="00EF57E6"/>
    <w:rsid w:val="00EF6ABB"/>
    <w:rsid w:val="00F04D54"/>
    <w:rsid w:val="00F14BF3"/>
    <w:rsid w:val="00F1709A"/>
    <w:rsid w:val="00F37B56"/>
    <w:rsid w:val="00F826CA"/>
    <w:rsid w:val="00F83F1B"/>
    <w:rsid w:val="00F9157E"/>
    <w:rsid w:val="00FC143A"/>
    <w:rsid w:val="00FC5C0B"/>
    <w:rsid w:val="00FE4946"/>
    <w:rsid w:val="00FF691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0419"/>
  <w15:chartTrackingRefBased/>
  <w15:docId w15:val="{44B7EE88-3767-4A42-816C-D3216E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12"/>
    <w:rPr>
      <w:sz w:val="24"/>
      <w:szCs w:val="24"/>
    </w:rPr>
  </w:style>
  <w:style w:type="paragraph" w:styleId="1">
    <w:name w:val="heading 1"/>
    <w:basedOn w:val="a"/>
    <w:next w:val="a"/>
    <w:link w:val="10"/>
    <w:uiPriority w:val="99"/>
    <w:qFormat/>
    <w:rsid w:val="00894E12"/>
    <w:pPr>
      <w:keepNext/>
      <w:spacing w:before="240" w:after="60"/>
      <w:outlineLvl w:val="0"/>
    </w:pPr>
    <w:rPr>
      <w:rFonts w:ascii="Cambria" w:hAnsi="Cambria" w:cs="Cambria"/>
      <w:b/>
      <w:bCs/>
      <w:kern w:val="32"/>
      <w:sz w:val="32"/>
      <w:szCs w:val="32"/>
    </w:rPr>
  </w:style>
  <w:style w:type="paragraph" w:styleId="2">
    <w:name w:val="heading 2"/>
    <w:basedOn w:val="a"/>
    <w:next w:val="a"/>
    <w:link w:val="20"/>
    <w:semiHidden/>
    <w:unhideWhenUsed/>
    <w:qFormat/>
    <w:rsid w:val="00894E12"/>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894E12"/>
    <w:pPr>
      <w:spacing w:before="100" w:beforeAutospacing="1" w:after="100" w:afterAutospacing="1"/>
      <w:outlineLvl w:val="2"/>
    </w:pPr>
    <w:rPr>
      <w:rFonts w:ascii="Cambria" w:hAnsi="Cambria" w:cs="Cambria"/>
      <w:b/>
      <w:bCs/>
      <w:sz w:val="26"/>
      <w:szCs w:val="26"/>
    </w:rPr>
  </w:style>
  <w:style w:type="paragraph" w:styleId="4">
    <w:name w:val="heading 4"/>
    <w:basedOn w:val="a"/>
    <w:next w:val="a"/>
    <w:link w:val="40"/>
    <w:uiPriority w:val="99"/>
    <w:qFormat/>
    <w:rsid w:val="00894E12"/>
    <w:pPr>
      <w:keepNext/>
      <w:spacing w:before="240" w:after="60"/>
      <w:outlineLvl w:val="3"/>
    </w:pPr>
    <w:rPr>
      <w:rFonts w:ascii="Calibri" w:hAnsi="Calibri" w:cs="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94E12"/>
    <w:rPr>
      <w:rFonts w:ascii="Cambria" w:hAnsi="Cambria" w:cs="Cambria"/>
      <w:b/>
      <w:bCs/>
      <w:kern w:val="32"/>
      <w:sz w:val="32"/>
      <w:szCs w:val="32"/>
    </w:rPr>
  </w:style>
  <w:style w:type="character" w:customStyle="1" w:styleId="20">
    <w:name w:val="Заголовок 2 Знак"/>
    <w:link w:val="2"/>
    <w:semiHidden/>
    <w:rsid w:val="00894E12"/>
    <w:rPr>
      <w:rFonts w:ascii="Cambria" w:hAnsi="Cambria"/>
      <w:b/>
      <w:bCs/>
      <w:i/>
      <w:iCs/>
      <w:sz w:val="28"/>
      <w:szCs w:val="28"/>
    </w:rPr>
  </w:style>
  <w:style w:type="character" w:customStyle="1" w:styleId="30">
    <w:name w:val="Заголовок 3 Знак"/>
    <w:link w:val="3"/>
    <w:uiPriority w:val="9"/>
    <w:rsid w:val="00894E12"/>
    <w:rPr>
      <w:rFonts w:ascii="Cambria" w:hAnsi="Cambria" w:cs="Cambria"/>
      <w:b/>
      <w:bCs/>
      <w:sz w:val="26"/>
      <w:szCs w:val="26"/>
    </w:rPr>
  </w:style>
  <w:style w:type="character" w:customStyle="1" w:styleId="40">
    <w:name w:val="Заголовок 4 Знак"/>
    <w:link w:val="4"/>
    <w:uiPriority w:val="99"/>
    <w:rsid w:val="00894E12"/>
    <w:rPr>
      <w:rFonts w:ascii="Calibri" w:hAnsi="Calibri" w:cs="Calibri"/>
      <w:b/>
      <w:bCs/>
      <w:sz w:val="28"/>
      <w:szCs w:val="28"/>
    </w:rPr>
  </w:style>
  <w:style w:type="character" w:styleId="a3">
    <w:name w:val="Strong"/>
    <w:uiPriority w:val="22"/>
    <w:qFormat/>
    <w:rsid w:val="00894E12"/>
    <w:rPr>
      <w:b/>
      <w:bCs/>
    </w:rPr>
  </w:style>
  <w:style w:type="paragraph" w:styleId="a4">
    <w:name w:val="List Paragraph"/>
    <w:basedOn w:val="a"/>
    <w:uiPriority w:val="34"/>
    <w:qFormat/>
    <w:rsid w:val="00894E12"/>
    <w:pPr>
      <w:spacing w:after="160" w:line="259"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A66362"/>
    <w:rPr>
      <w:rFonts w:ascii="Segoe UI" w:hAnsi="Segoe UI" w:cs="Segoe UI"/>
      <w:sz w:val="18"/>
      <w:szCs w:val="18"/>
    </w:rPr>
  </w:style>
  <w:style w:type="character" w:customStyle="1" w:styleId="a6">
    <w:name w:val="Текст выноски Знак"/>
    <w:basedOn w:val="a0"/>
    <w:link w:val="a5"/>
    <w:uiPriority w:val="99"/>
    <w:semiHidden/>
    <w:rsid w:val="00A6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13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800" b="1" i="0" baseline="0">
                <a:effectLst/>
              </a:rPr>
              <a:t>Share of income on intellectual property objects in 202</a:t>
            </a:r>
            <a:r>
              <a:rPr lang="kk-KZ" sz="1800" b="1" i="0" baseline="0">
                <a:effectLst/>
              </a:rPr>
              <a:t>5</a:t>
            </a:r>
            <a:endParaRPr lang="en-US" sz="1800" b="1" i="0" baseline="0">
              <a:effectLst/>
            </a:endParaRPr>
          </a:p>
        </c:rich>
      </c:tx>
      <c:layout>
        <c:manualLayout>
          <c:xMode val="edge"/>
          <c:yMode val="edge"/>
          <c:x val="8.6699495896346304E-2"/>
          <c:y val="0"/>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Лист1!$B$1</c:f>
              <c:strCache>
                <c:ptCount val="1"/>
                <c:pt idx="0">
                  <c:v>Доход от оказания гос.услуг и других юридически значимых действий по итогам 2024 года</c:v>
                </c:pt>
              </c:strCache>
            </c:strRef>
          </c:tx>
          <c:spPr>
            <a:effectLst>
              <a:outerShdw blurRad="139700" dist="50800" dir="4560000" algn="ctr" rotWithShape="0">
                <a:srgbClr val="000000">
                  <a:alpha val="43137"/>
                </a:srgbClr>
              </a:outerShdw>
            </a:effectLst>
          </c:spPr>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1-FD09-4291-A778-E53344B8C48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3-FD09-4291-A778-E53344B8C48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5-FD09-4291-A778-E53344B8C48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7-FD09-4291-A778-E53344B8C48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9-FD09-4291-A778-E53344B8C48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B-FD09-4291-A778-E53344B8C48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D-FD09-4291-A778-E53344B8C48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F-FD09-4291-A778-E53344B8C48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11-081C-4D74-BE1B-25B50A007417}"/>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10-081C-4D74-BE1B-25B50A007417}"/>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14-5101-4613-844D-C786D5FDFF2D}"/>
              </c:ext>
            </c:extLst>
          </c:dPt>
          <c:dLbls>
            <c:dLbl>
              <c:idx val="0"/>
              <c:layout>
                <c:manualLayout>
                  <c:x val="1.9538771245827202E-2"/>
                  <c:y val="-0.16243837726805901"/>
                </c:manualLayout>
              </c:layout>
              <c:tx>
                <c:rich>
                  <a:bodyPr/>
                  <a:lstStyle/>
                  <a:p>
                    <a:r>
                      <a:rPr lang="en-US"/>
                      <a:t>Trademark</a:t>
                    </a:r>
                    <a:r>
                      <a:rPr lang="en-US" baseline="0"/>
                      <a:t>
</a:t>
                    </a:r>
                    <a:fld id="{C79C08CD-FE8A-419C-A2DF-8A9F48D3ED80}"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09-4291-A778-E53344B8C482}"/>
                </c:ext>
              </c:extLst>
            </c:dLbl>
            <c:dLbl>
              <c:idx val="1"/>
              <c:layout>
                <c:manualLayout>
                  <c:x val="7.0462358871807684E-2"/>
                  <c:y val="3.7973435138789473E-2"/>
                </c:manualLayout>
              </c:layout>
              <c:tx>
                <c:rich>
                  <a:bodyPr/>
                  <a:lstStyle/>
                  <a:p>
                    <a:r>
                      <a:rPr lang="en-US"/>
                      <a:t>Industrial design</a:t>
                    </a:r>
                    <a:r>
                      <a:rPr lang="en-US" baseline="0"/>
                      <a:t>
</a:t>
                    </a:r>
                    <a:fld id="{3AAAFA0A-90A4-44D8-BD6A-D817DD078D63}"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09-4291-A778-E53344B8C482}"/>
                </c:ext>
              </c:extLst>
            </c:dLbl>
            <c:dLbl>
              <c:idx val="2"/>
              <c:layout>
                <c:manualLayout>
                  <c:x val="-5.2689080531600214E-2"/>
                  <c:y val="-0.1314364113576712"/>
                </c:manualLayout>
              </c:layout>
              <c:tx>
                <c:rich>
                  <a:bodyPr/>
                  <a:lstStyle/>
                  <a:p>
                    <a:r>
                      <a:rPr lang="en-US" baseline="0"/>
                      <a:t>Invention, utility model
</a:t>
                    </a:r>
                    <a:fld id="{701FCF92-96B0-4F2B-B15C-66A4A1D295CE}"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1933008373953256"/>
                      <c:h val="0.21086958827116306"/>
                    </c:manualLayout>
                  </c15:layout>
                  <c15:dlblFieldTable/>
                  <c15:showDataLabelsRange val="0"/>
                </c:ext>
                <c:ext xmlns:c16="http://schemas.microsoft.com/office/drawing/2014/chart" uri="{C3380CC4-5D6E-409C-BE32-E72D297353CC}">
                  <c16:uniqueId val="{00000005-FD09-4291-A778-E53344B8C482}"/>
                </c:ext>
              </c:extLst>
            </c:dLbl>
            <c:dLbl>
              <c:idx val="3"/>
              <c:layout>
                <c:manualLayout>
                  <c:x val="-1.7989320105213411E-2"/>
                  <c:y val="-0.3116697501086409"/>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r>
                      <a:rPr lang="en-US" baseline="0"/>
                      <a:t>Training seminars (NIIP Training Center and WIPO Summer School)
</a:t>
                    </a:r>
                    <a:fld id="{722944C7-9AF4-475B-8B83-4E80792368BF}" type="PERCENTAGE">
                      <a:rPr lang="en-US" baseline="0"/>
                      <a:pPr>
                        <a:defRPr sz="1200">
                          <a:latin typeface="Times New Roman" panose="02020603050405020304" pitchFamily="18" charset="0"/>
                        </a:defRPr>
                      </a:pPr>
                      <a:t>[ПРОЦЕНТ]</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5206865808440609"/>
                      <c:h val="0.26452928232455791"/>
                    </c:manualLayout>
                  </c15:layout>
                  <c15:dlblFieldTable/>
                  <c15:showDataLabelsRange val="0"/>
                </c:ext>
                <c:ext xmlns:c16="http://schemas.microsoft.com/office/drawing/2014/chart" uri="{C3380CC4-5D6E-409C-BE32-E72D297353CC}">
                  <c16:uniqueId val="{00000007-FD09-4291-A778-E53344B8C482}"/>
                </c:ext>
              </c:extLst>
            </c:dLbl>
            <c:dLbl>
              <c:idx val="4"/>
              <c:layout>
                <c:manualLayout>
                  <c:x val="2.8771403574553062E-4"/>
                  <c:y val="-0.48306118932103181"/>
                </c:manualLayout>
              </c:layout>
              <c:tx>
                <c:rich>
                  <a:bodyPr/>
                  <a:lstStyle/>
                  <a:p>
                    <a:r>
                      <a:rPr lang="en-US" baseline="0"/>
                      <a:t>Selection achievement
</a:t>
                    </a:r>
                    <a:fld id="{5D8B938F-768F-4BE1-8A9A-3C2345AB3768}"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3011866235167209"/>
                      <c:h val="0.16086956521739129"/>
                    </c:manualLayout>
                  </c15:layout>
                  <c15:dlblFieldTable/>
                  <c15:showDataLabelsRange val="0"/>
                </c:ext>
                <c:ext xmlns:c16="http://schemas.microsoft.com/office/drawing/2014/chart" uri="{C3380CC4-5D6E-409C-BE32-E72D297353CC}">
                  <c16:uniqueId val="{00000009-FD09-4291-A778-E53344B8C482}"/>
                </c:ext>
              </c:extLst>
            </c:dLbl>
            <c:dLbl>
              <c:idx val="5"/>
              <c:layout>
                <c:manualLayout>
                  <c:x val="0.24162063075448897"/>
                  <c:y val="0.16863397757098544"/>
                </c:manualLayout>
              </c:layout>
              <c:tx>
                <c:rich>
                  <a:bodyPr/>
                  <a:lstStyle/>
                  <a:p>
                    <a:r>
                      <a:rPr lang="en-US"/>
                      <a:t>State</a:t>
                    </a:r>
                    <a:r>
                      <a:rPr lang="en-US" baseline="0"/>
                      <a:t> Register of Rights and publication of information
</a:t>
                    </a:r>
                    <a:fld id="{F1D0F709-FE3B-4E59-977F-B388B9076E22}"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5759447544785058"/>
                      <c:h val="0.21086956521739128"/>
                    </c:manualLayout>
                  </c15:layout>
                  <c15:dlblFieldTable/>
                  <c15:showDataLabelsRange val="0"/>
                </c:ext>
                <c:ext xmlns:c16="http://schemas.microsoft.com/office/drawing/2014/chart" uri="{C3380CC4-5D6E-409C-BE32-E72D297353CC}">
                  <c16:uniqueId val="{0000000B-FD09-4291-A778-E53344B8C482}"/>
                </c:ext>
              </c:extLst>
            </c:dLbl>
            <c:dLbl>
              <c:idx val="6"/>
              <c:layout>
                <c:manualLayout>
                  <c:x val="4.6317793609132268E-2"/>
                  <c:y val="-1.2289562289562418E-3"/>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r>
                      <a:rPr lang="en-US"/>
                      <a:t>Copyright</a:t>
                    </a:r>
                    <a:r>
                      <a:rPr lang="en-US" baseline="0"/>
                      <a:t>
</a:t>
                    </a:r>
                    <a:fld id="{D63F2BD7-272C-4994-9579-06E85B1DD9FC}" type="PERCENTAGE">
                      <a:rPr lang="en-US" baseline="0"/>
                      <a:pPr>
                        <a:defRPr sz="1200">
                          <a:latin typeface="Times New Roman" panose="02020603050405020304" pitchFamily="18" charset="0"/>
                        </a:defRPr>
                      </a:pPr>
                      <a:t>[ПРОЦЕНТ]</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6744973544973543"/>
                      <c:h val="0.13670033670033668"/>
                    </c:manualLayout>
                  </c15:layout>
                  <c15:dlblFieldTable/>
                  <c15:showDataLabelsRange val="0"/>
                </c:ext>
                <c:ext xmlns:c16="http://schemas.microsoft.com/office/drawing/2014/chart" uri="{C3380CC4-5D6E-409C-BE32-E72D297353CC}">
                  <c16:uniqueId val="{0000000D-FD09-4291-A778-E53344B8C482}"/>
                </c:ext>
              </c:extLst>
            </c:dLbl>
            <c:dLbl>
              <c:idx val="7"/>
              <c:layout>
                <c:manualLayout>
                  <c:x val="0.21967237428654737"/>
                  <c:y val="0.11939287892043797"/>
                </c:manualLayout>
              </c:layout>
              <c:tx>
                <c:rich>
                  <a:bodyPr/>
                  <a:lstStyle/>
                  <a:p>
                    <a:r>
                      <a:rPr lang="en-US" baseline="0"/>
                      <a:t>Geographical inducations
</a:t>
                    </a:r>
                    <a:fld id="{39C2FF2F-2B4B-4B61-8821-D7CBF2BF1602}"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FD09-4291-A778-E53344B8C482}"/>
                </c:ext>
              </c:extLst>
            </c:dLbl>
            <c:dLbl>
              <c:idx val="8"/>
              <c:layout>
                <c:manualLayout>
                  <c:x val="0.20318918468524769"/>
                  <c:y val="0.28841843633182207"/>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r>
                      <a:rPr lang="en-US"/>
                      <a:t>Registration of agreements</a:t>
                    </a:r>
                    <a:r>
                      <a:rPr lang="en-US" baseline="0"/>
                      <a:t>
</a:t>
                    </a:r>
                    <a:fld id="{4E2AE93B-5180-43C2-A955-CF8F1E02335A}" type="PERCENTAGE">
                      <a:rPr lang="en-US" baseline="0"/>
                      <a:pPr>
                        <a:defRPr sz="1200">
                          <a:latin typeface="Times New Roman" panose="02020603050405020304" pitchFamily="18" charset="0"/>
                        </a:defRPr>
                      </a:pPr>
                      <a:t>[ПРОЦЕНТ]</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6583593717451983"/>
                      <c:h val="0.16449269598875896"/>
                    </c:manualLayout>
                  </c15:layout>
                  <c15:dlblFieldTable/>
                  <c15:showDataLabelsRange val="0"/>
                </c:ext>
                <c:ext xmlns:c16="http://schemas.microsoft.com/office/drawing/2014/chart" uri="{C3380CC4-5D6E-409C-BE32-E72D297353CC}">
                  <c16:uniqueId val="{00000011-081C-4D74-BE1B-25B50A007417}"/>
                </c:ext>
              </c:extLst>
            </c:dLbl>
            <c:dLbl>
              <c:idx val="9"/>
              <c:layout>
                <c:manualLayout>
                  <c:x val="0.13538807649043855"/>
                  <c:y val="0.40351440918370046"/>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r>
                      <a:rPr lang="en-US"/>
                      <a:t>Thematic searches</a:t>
                    </a:r>
                    <a:r>
                      <a:rPr lang="en-US" baseline="0"/>
                      <a:t>
</a:t>
                    </a:r>
                    <a:fld id="{BB6FD570-F868-48F4-849E-95B89FD1C0D8}" type="PERCENTAGE">
                      <a:rPr lang="en-US" baseline="0"/>
                      <a:pPr>
                        <a:defRPr sz="1200">
                          <a:latin typeface="Times New Roman" panose="02020603050405020304" pitchFamily="18" charset="0"/>
                        </a:defRPr>
                      </a:pPr>
                      <a:t>[ПРОЦЕНТ]</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0371136941215681"/>
                      <c:h val="0.1676035950051698"/>
                    </c:manualLayout>
                  </c15:layout>
                  <c15:dlblFieldTable/>
                  <c15:showDataLabelsRange val="0"/>
                </c:ext>
                <c:ext xmlns:c16="http://schemas.microsoft.com/office/drawing/2014/chart" uri="{C3380CC4-5D6E-409C-BE32-E72D297353CC}">
                  <c16:uniqueId val="{00000010-081C-4D74-BE1B-25B50A007417}"/>
                </c:ext>
              </c:extLst>
            </c:dLbl>
            <c:dLbl>
              <c:idx val="10"/>
              <c:layout>
                <c:manualLayout>
                  <c:x val="-0.1791482731325251"/>
                  <c:y val="8.2319255547601944E-2"/>
                </c:manualLayout>
              </c:layout>
              <c:tx>
                <c:rich>
                  <a:bodyPr/>
                  <a:lstStyle/>
                  <a:p>
                    <a:r>
                      <a:rPr lang="en-US"/>
                      <a:t>According to the Madrid system</a:t>
                    </a:r>
                    <a:r>
                      <a:rPr lang="en-US" baseline="0"/>
                      <a:t>
</a:t>
                    </a:r>
                    <a:fld id="{32FF13C1-E520-4A1D-941C-719CFAA875CC}"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5101-4613-844D-C786D5FDFF2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товарные знаки</c:v>
                </c:pt>
                <c:pt idx="1">
                  <c:v>промышленные образцы</c:v>
                </c:pt>
                <c:pt idx="2">
                  <c:v>изобретения, полезные модели</c:v>
                </c:pt>
                <c:pt idx="3">
                  <c:v>обучающие семинары (УЦ НИИС и Летняя школа ВОИС)</c:v>
                </c:pt>
                <c:pt idx="4">
                  <c:v>селекцион.достижения</c:v>
                </c:pt>
                <c:pt idx="5">
                  <c:v>госреестры и публикация сведений</c:v>
                </c:pt>
                <c:pt idx="6">
                  <c:v>авторское право</c:v>
                </c:pt>
                <c:pt idx="7">
                  <c:v>географические указания и НМПТ</c:v>
                </c:pt>
                <c:pt idx="8">
                  <c:v>регистрация договоров</c:v>
                </c:pt>
                <c:pt idx="9">
                  <c:v>тематические поиски</c:v>
                </c:pt>
                <c:pt idx="10">
                  <c:v>по Мадридской системе</c:v>
                </c:pt>
              </c:strCache>
            </c:strRef>
          </c:cat>
          <c:val>
            <c:numRef>
              <c:f>Лист1!$B$2:$B$12</c:f>
              <c:numCache>
                <c:formatCode>_-* #\ ##0.00\ _₽_-;\-* #\ ##0.00\ _₽_-;_-* "-"??\ _₽_-;_-@_-</c:formatCode>
                <c:ptCount val="11"/>
                <c:pt idx="0">
                  <c:v>1798.59</c:v>
                </c:pt>
                <c:pt idx="1">
                  <c:v>26</c:v>
                </c:pt>
                <c:pt idx="2">
                  <c:v>81</c:v>
                </c:pt>
                <c:pt idx="3">
                  <c:v>5.52</c:v>
                </c:pt>
                <c:pt idx="4">
                  <c:v>17.309999999999999</c:v>
                </c:pt>
                <c:pt idx="5">
                  <c:v>2229.83</c:v>
                </c:pt>
                <c:pt idx="6">
                  <c:v>132.19</c:v>
                </c:pt>
                <c:pt idx="7">
                  <c:v>1.4</c:v>
                </c:pt>
                <c:pt idx="8">
                  <c:v>136.71</c:v>
                </c:pt>
                <c:pt idx="9">
                  <c:v>73.58</c:v>
                </c:pt>
                <c:pt idx="10">
                  <c:v>1450.66</c:v>
                </c:pt>
              </c:numCache>
            </c:numRef>
          </c:val>
          <c:extLst>
            <c:ext xmlns:c16="http://schemas.microsoft.com/office/drawing/2014/chart" uri="{C3380CC4-5D6E-409C-BE32-E72D297353CC}">
              <c16:uniqueId val="{00000000-3D3A-4146-A9A1-5B0E503FAC07}"/>
            </c:ext>
          </c:extLst>
        </c:ser>
        <c:dLbls>
          <c:dLblPos val="inEnd"/>
          <c:showLegendKey val="0"/>
          <c:showVal val="0"/>
          <c:showCatName val="0"/>
          <c:showSerName val="0"/>
          <c:showPercent val="1"/>
          <c:showBubbleSize val="0"/>
          <c:showLeaderLines val="1"/>
        </c:dLbls>
        <c:firstSliceAng val="122"/>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Сатыбалдина Лаура Кайратовна</dc:creator>
  <cp:keywords/>
  <dc:description/>
  <cp:lastModifiedBy>Беркімбаева Аружан Берікқызы</cp:lastModifiedBy>
  <cp:revision>28</cp:revision>
  <cp:lastPrinted>2026-06-17T06:31:00Z</cp:lastPrinted>
  <dcterms:created xsi:type="dcterms:W3CDTF">2025-06-05T08:27:00Z</dcterms:created>
  <dcterms:modified xsi:type="dcterms:W3CDTF">2026-06-18T04:38:00Z</dcterms:modified>
</cp:coreProperties>
</file>