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1FD" w:rsidRDefault="00CD51FD" w:rsidP="00CD51F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51FD" w:rsidRPr="00CD51FD" w:rsidRDefault="00CD51FD" w:rsidP="00CD51F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51FD">
        <w:rPr>
          <w:rFonts w:ascii="Times New Roman" w:hAnsi="Times New Roman" w:cs="Times New Roman"/>
          <w:b/>
          <w:sz w:val="20"/>
          <w:szCs w:val="20"/>
        </w:rPr>
        <w:t>ФОРМУЛА ИЗОБРЕТЕНИЯ</w:t>
      </w:r>
    </w:p>
    <w:p w:rsidR="00D54DA9" w:rsidRPr="00CD51FD" w:rsidRDefault="00CD51FD" w:rsidP="00CD51FD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D51FD">
        <w:rPr>
          <w:rFonts w:ascii="Times New Roman" w:hAnsi="Times New Roman" w:cs="Times New Roman"/>
          <w:sz w:val="20"/>
          <w:szCs w:val="20"/>
        </w:rPr>
        <w:t>Способ удаления мышьяка и углерода из арсенопиритуглеродсодержащих концентратов, включающий двухстадийный окислительно-сульфидирующий обжиг с использованием кислородсодержащего дутья в условиях регулируемого кислородного потенциала в реакторе «кипящего слоя» в интервале температур 600-750°С с получением газов, содержащих сульфиды мышьяка и оксид углерода, отличающийся тем, что обжиг проводят в две стадии при отношении количества арсенопирита + углерода в шихте к количеству кислорода в дутье на первой стадии равном 1:(0,6-0,8) и в присутствии пирита, взятого из расчета по отношению к арсенопириту равного (1,4-1,6):1 при температуре 650- 750°С, с последующим на второй стадии окислительным обжигом пирротинизированного огарка намертво при отношении количества сульфидов железа в огарке к количеству кислорода в дутье равном 1:(1,7-1,9) при температуре 600-700°С, остаточное содержание мышьяка в огарках не превышает 0,11-0,10%.</w:t>
      </w:r>
      <w:bookmarkEnd w:id="0"/>
    </w:p>
    <w:sectPr w:rsidR="00D54DA9" w:rsidRPr="00CD5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1FD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CD51FD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DBA9"/>
  <w15:chartTrackingRefBased/>
  <w15:docId w15:val="{63B3C5D4-E463-409C-8296-4794B6A6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2022-10-13T09:54:00Z</dcterms:created>
  <dcterms:modified xsi:type="dcterms:W3CDTF">2022-10-13T09:55:00Z</dcterms:modified>
</cp:coreProperties>
</file>